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D7E07">
      <w:pPr>
        <w:autoSpaceDE w:val="0"/>
        <w:autoSpaceDN w:val="0"/>
        <w:spacing w:line="500" w:lineRule="atLeast"/>
        <w:jc w:val="center"/>
        <w:textAlignment w:val="bottom"/>
        <w:rPr>
          <w:rFonts w:hint="eastAsia" w:ascii="宋体" w:hAnsi="宋体" w:cs="Courier New"/>
          <w:b/>
          <w:bCs/>
          <w:color w:val="auto"/>
          <w:spacing w:val="120"/>
          <w:sz w:val="72"/>
          <w:szCs w:val="72"/>
          <w:highlight w:val="none"/>
        </w:rPr>
      </w:pPr>
      <w:bookmarkStart w:id="0" w:name="_Toc499821117"/>
      <w:r>
        <w:rPr>
          <w:rFonts w:ascii="宋体" w:hAnsi="宋体" w:cs="Courier New"/>
          <w:b/>
          <w:bCs/>
          <w:color w:val="auto"/>
          <w:spacing w:val="120"/>
          <w:sz w:val="72"/>
          <w:szCs w:val="72"/>
          <w:highlight w:val="none"/>
        </w:rPr>
        <w:tab/>
      </w:r>
    </w:p>
    <w:p w14:paraId="20241AE1">
      <w:pPr>
        <w:autoSpaceDE w:val="0"/>
        <w:autoSpaceDN w:val="0"/>
        <w:spacing w:line="500" w:lineRule="atLeast"/>
        <w:jc w:val="center"/>
        <w:textAlignment w:val="bottom"/>
        <w:rPr>
          <w:rFonts w:hint="eastAsia" w:ascii="宋体" w:hAnsi="宋体" w:cs="Courier New"/>
          <w:b/>
          <w:bCs/>
          <w:color w:val="auto"/>
          <w:spacing w:val="120"/>
          <w:sz w:val="72"/>
          <w:szCs w:val="72"/>
          <w:highlight w:val="none"/>
        </w:rPr>
      </w:pPr>
    </w:p>
    <w:p w14:paraId="6FB31754">
      <w:pPr>
        <w:autoSpaceDE w:val="0"/>
        <w:autoSpaceDN w:val="0"/>
        <w:spacing w:line="500" w:lineRule="atLeast"/>
        <w:jc w:val="center"/>
        <w:textAlignment w:val="bottom"/>
        <w:rPr>
          <w:rFonts w:hint="eastAsia" w:ascii="宋体" w:hAnsi="宋体" w:cs="Courier New"/>
          <w:b/>
          <w:bCs/>
          <w:color w:val="auto"/>
          <w:spacing w:val="120"/>
          <w:sz w:val="72"/>
          <w:szCs w:val="72"/>
          <w:highlight w:val="none"/>
        </w:rPr>
      </w:pPr>
      <w:r>
        <w:rPr>
          <w:rFonts w:hint="eastAsia" w:ascii="宋体" w:hAnsi="宋体" w:cs="Courier New"/>
          <w:b/>
          <w:bCs/>
          <w:color w:val="auto"/>
          <w:spacing w:val="120"/>
          <w:sz w:val="72"/>
          <w:szCs w:val="72"/>
          <w:highlight w:val="none"/>
        </w:rPr>
        <w:t>泰顺县</w:t>
      </w:r>
      <w:r>
        <w:rPr>
          <w:rFonts w:hint="eastAsia" w:ascii="宋体" w:hAnsi="宋体"/>
          <w:b/>
          <w:color w:val="auto"/>
          <w:spacing w:val="100"/>
          <w:sz w:val="72"/>
          <w:highlight w:val="none"/>
        </w:rPr>
        <w:t>国有企业</w:t>
      </w:r>
      <w:r>
        <w:rPr>
          <w:rFonts w:hint="eastAsia" w:ascii="宋体" w:hAnsi="宋体" w:cs="Courier New"/>
          <w:b/>
          <w:bCs/>
          <w:color w:val="auto"/>
          <w:spacing w:val="120"/>
          <w:sz w:val="72"/>
          <w:szCs w:val="72"/>
          <w:highlight w:val="none"/>
        </w:rPr>
        <w:t>采购</w:t>
      </w:r>
    </w:p>
    <w:p w14:paraId="794009BB">
      <w:pPr>
        <w:spacing w:line="400" w:lineRule="atLeast"/>
        <w:jc w:val="center"/>
        <w:rPr>
          <w:rFonts w:ascii="宋体" w:hAnsi="宋体" w:cs="Courier New"/>
          <w:b/>
          <w:color w:val="auto"/>
          <w:sz w:val="52"/>
          <w:highlight w:val="none"/>
        </w:rPr>
      </w:pPr>
    </w:p>
    <w:p w14:paraId="7781BD5C">
      <w:pPr>
        <w:autoSpaceDE w:val="0"/>
        <w:autoSpaceDN w:val="0"/>
        <w:spacing w:line="500" w:lineRule="atLeast"/>
        <w:jc w:val="center"/>
        <w:textAlignment w:val="bottom"/>
        <w:rPr>
          <w:rFonts w:ascii="宋体" w:hAnsi="宋体" w:cs="Courier New"/>
          <w:b/>
          <w:bCs/>
          <w:color w:val="auto"/>
          <w:sz w:val="72"/>
          <w:szCs w:val="72"/>
          <w:highlight w:val="none"/>
        </w:rPr>
      </w:pPr>
    </w:p>
    <w:p w14:paraId="3F54AD74">
      <w:pPr>
        <w:autoSpaceDE w:val="0"/>
        <w:autoSpaceDN w:val="0"/>
        <w:spacing w:line="500" w:lineRule="atLeast"/>
        <w:ind w:firstLine="419" w:firstLineChars="58"/>
        <w:jc w:val="center"/>
        <w:textAlignment w:val="bottom"/>
        <w:rPr>
          <w:rFonts w:ascii="宋体" w:hAnsi="宋体" w:cs="Courier New"/>
          <w:b/>
          <w:color w:val="auto"/>
          <w:sz w:val="72"/>
          <w:szCs w:val="72"/>
          <w:highlight w:val="none"/>
        </w:rPr>
      </w:pPr>
      <w:r>
        <w:rPr>
          <w:rFonts w:hint="eastAsia" w:ascii="宋体" w:hAnsi="宋体" w:cs="Courier New"/>
          <w:b/>
          <w:bCs/>
          <w:color w:val="auto"/>
          <w:sz w:val="72"/>
          <w:szCs w:val="72"/>
          <w:highlight w:val="none"/>
        </w:rPr>
        <w:t xml:space="preserve">招标文件 </w:t>
      </w:r>
    </w:p>
    <w:p w14:paraId="15E369FE">
      <w:pPr>
        <w:tabs>
          <w:tab w:val="left" w:pos="4860"/>
        </w:tabs>
        <w:spacing w:line="600" w:lineRule="exact"/>
        <w:ind w:right="1143"/>
        <w:jc w:val="left"/>
        <w:rPr>
          <w:rFonts w:ascii="宋体" w:hAnsi="宋体"/>
          <w:color w:val="auto"/>
          <w:spacing w:val="40"/>
          <w:sz w:val="30"/>
          <w:szCs w:val="30"/>
          <w:highlight w:val="none"/>
        </w:rPr>
      </w:pPr>
    </w:p>
    <w:p w14:paraId="53D83037">
      <w:pPr>
        <w:tabs>
          <w:tab w:val="left" w:pos="4860"/>
        </w:tabs>
        <w:spacing w:line="600" w:lineRule="exact"/>
        <w:ind w:right="1143"/>
        <w:jc w:val="left"/>
        <w:rPr>
          <w:rFonts w:ascii="宋体" w:hAnsi="宋体"/>
          <w:color w:val="auto"/>
          <w:spacing w:val="40"/>
          <w:sz w:val="30"/>
          <w:szCs w:val="30"/>
          <w:highlight w:val="none"/>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5"/>
        <w:gridCol w:w="5704"/>
      </w:tblGrid>
      <w:tr w14:paraId="6CE5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385" w:type="dxa"/>
            <w:vAlign w:val="center"/>
          </w:tcPr>
          <w:p w14:paraId="65A4F649">
            <w:pPr>
              <w:adjustRightInd w:val="0"/>
              <w:snapToGrid w:val="0"/>
              <w:spacing w:line="440" w:lineRule="exact"/>
              <w:jc w:val="left"/>
              <w:rPr>
                <w:rFonts w:hint="eastAsia" w:ascii="宋体" w:hAnsi="宋体" w:eastAsia="宋体"/>
                <w:b/>
                <w:bCs/>
                <w:color w:val="auto"/>
                <w:sz w:val="30"/>
                <w:szCs w:val="30"/>
                <w:highlight w:val="none"/>
              </w:rPr>
            </w:pPr>
            <w:r>
              <w:rPr>
                <w:rFonts w:hint="eastAsia" w:ascii="宋体" w:hAnsi="宋体" w:eastAsia="宋体"/>
                <w:b/>
                <w:bCs/>
                <w:color w:val="auto"/>
                <w:sz w:val="30"/>
                <w:szCs w:val="30"/>
                <w:highlight w:val="none"/>
              </w:rPr>
              <w:t>项目编号</w:t>
            </w:r>
          </w:p>
        </w:tc>
        <w:tc>
          <w:tcPr>
            <w:tcW w:w="5704" w:type="dxa"/>
            <w:vAlign w:val="center"/>
          </w:tcPr>
          <w:p w14:paraId="1855FC53">
            <w:pPr>
              <w:adjustRightInd w:val="0"/>
              <w:snapToGrid w:val="0"/>
              <w:spacing w:line="440" w:lineRule="exact"/>
              <w:jc w:val="left"/>
              <w:rPr>
                <w:rFonts w:hint="eastAsia" w:ascii="宋体" w:hAnsi="宋体" w:eastAsia="宋体"/>
                <w:b/>
                <w:bCs/>
                <w:color w:val="auto"/>
                <w:sz w:val="30"/>
                <w:szCs w:val="30"/>
                <w:highlight w:val="none"/>
                <w:lang w:eastAsia="zh-CN"/>
              </w:rPr>
            </w:pPr>
            <w:r>
              <w:rPr>
                <w:rFonts w:hint="eastAsia" w:ascii="宋体" w:hAnsi="宋体" w:eastAsia="宋体"/>
                <w:b/>
                <w:bCs/>
                <w:color w:val="auto"/>
                <w:sz w:val="30"/>
                <w:szCs w:val="30"/>
                <w:highlight w:val="none"/>
                <w:lang w:eastAsia="zh-CN"/>
              </w:rPr>
              <w:t>TSCG202601002</w:t>
            </w:r>
          </w:p>
        </w:tc>
      </w:tr>
      <w:tr w14:paraId="2633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85" w:type="dxa"/>
            <w:tcBorders>
              <w:top w:val="single" w:color="auto" w:sz="4" w:space="0"/>
              <w:left w:val="single" w:color="auto" w:sz="4" w:space="0"/>
              <w:right w:val="single" w:color="auto" w:sz="4" w:space="0"/>
            </w:tcBorders>
            <w:vAlign w:val="center"/>
          </w:tcPr>
          <w:p w14:paraId="1AB50F36">
            <w:pPr>
              <w:adjustRightInd w:val="0"/>
              <w:snapToGrid w:val="0"/>
              <w:spacing w:line="440" w:lineRule="exact"/>
              <w:jc w:val="left"/>
              <w:rPr>
                <w:rFonts w:hint="eastAsia" w:ascii="宋体" w:hAnsi="宋体" w:eastAsia="宋体"/>
                <w:b/>
                <w:bCs/>
                <w:color w:val="auto"/>
                <w:sz w:val="30"/>
                <w:szCs w:val="30"/>
                <w:highlight w:val="none"/>
              </w:rPr>
            </w:pPr>
            <w:r>
              <w:rPr>
                <w:rFonts w:hint="eastAsia" w:ascii="宋体" w:hAnsi="宋体" w:eastAsia="宋体"/>
                <w:b/>
                <w:bCs/>
                <w:color w:val="auto"/>
                <w:sz w:val="30"/>
                <w:szCs w:val="30"/>
                <w:highlight w:val="none"/>
              </w:rPr>
              <w:t>招标项目</w:t>
            </w:r>
          </w:p>
        </w:tc>
        <w:tc>
          <w:tcPr>
            <w:tcW w:w="5704" w:type="dxa"/>
            <w:tcBorders>
              <w:top w:val="single" w:color="auto" w:sz="4" w:space="0"/>
              <w:left w:val="single" w:color="auto" w:sz="4" w:space="0"/>
              <w:right w:val="single" w:color="auto" w:sz="4" w:space="0"/>
            </w:tcBorders>
            <w:vAlign w:val="center"/>
          </w:tcPr>
          <w:p w14:paraId="66161EAB">
            <w:pPr>
              <w:adjustRightInd w:val="0"/>
              <w:snapToGrid w:val="0"/>
              <w:spacing w:line="440" w:lineRule="exact"/>
              <w:jc w:val="left"/>
              <w:rPr>
                <w:rFonts w:hint="eastAsia" w:ascii="宋体" w:hAnsi="宋体" w:eastAsia="宋体"/>
                <w:b/>
                <w:bCs/>
                <w:color w:val="auto"/>
                <w:sz w:val="30"/>
                <w:szCs w:val="30"/>
                <w:highlight w:val="none"/>
                <w:lang w:eastAsia="zh-CN"/>
              </w:rPr>
            </w:pPr>
            <w:r>
              <w:rPr>
                <w:rFonts w:hint="eastAsia" w:ascii="宋体" w:hAnsi="宋体"/>
                <w:b/>
                <w:bCs/>
                <w:color w:val="auto"/>
                <w:sz w:val="30"/>
                <w:szCs w:val="30"/>
                <w:highlight w:val="none"/>
                <w:lang w:eastAsia="zh-CN"/>
              </w:rPr>
              <w:t>龟湖镇水厂备用水源工程设备采购</w:t>
            </w:r>
          </w:p>
        </w:tc>
      </w:tr>
      <w:tr w14:paraId="44258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85" w:type="dxa"/>
            <w:tcBorders>
              <w:top w:val="single" w:color="auto" w:sz="4" w:space="0"/>
              <w:left w:val="single" w:color="auto" w:sz="4" w:space="0"/>
              <w:right w:val="single" w:color="auto" w:sz="4" w:space="0"/>
            </w:tcBorders>
            <w:vAlign w:val="center"/>
          </w:tcPr>
          <w:p w14:paraId="22D43054">
            <w:pPr>
              <w:adjustRightInd w:val="0"/>
              <w:snapToGrid w:val="0"/>
              <w:spacing w:line="440" w:lineRule="exact"/>
              <w:jc w:val="left"/>
              <w:rPr>
                <w:rFonts w:hint="eastAsia" w:ascii="宋体" w:hAnsi="宋体" w:eastAsia="宋体"/>
                <w:b/>
                <w:bCs/>
                <w:color w:val="auto"/>
                <w:sz w:val="30"/>
                <w:szCs w:val="30"/>
                <w:highlight w:val="none"/>
              </w:rPr>
            </w:pPr>
            <w:r>
              <w:rPr>
                <w:rFonts w:hint="eastAsia" w:ascii="宋体" w:hAnsi="宋体" w:eastAsia="宋体"/>
                <w:b/>
                <w:bCs/>
                <w:color w:val="auto"/>
                <w:sz w:val="30"/>
                <w:szCs w:val="30"/>
                <w:highlight w:val="none"/>
              </w:rPr>
              <w:t>招标方式</w:t>
            </w:r>
          </w:p>
        </w:tc>
        <w:tc>
          <w:tcPr>
            <w:tcW w:w="5704" w:type="dxa"/>
            <w:tcBorders>
              <w:top w:val="single" w:color="auto" w:sz="4" w:space="0"/>
              <w:left w:val="single" w:color="auto" w:sz="4" w:space="0"/>
              <w:right w:val="single" w:color="auto" w:sz="4" w:space="0"/>
            </w:tcBorders>
            <w:vAlign w:val="center"/>
          </w:tcPr>
          <w:p w14:paraId="49593ECD">
            <w:pPr>
              <w:adjustRightInd w:val="0"/>
              <w:snapToGrid w:val="0"/>
              <w:spacing w:line="440" w:lineRule="exact"/>
              <w:jc w:val="left"/>
              <w:rPr>
                <w:rFonts w:hint="eastAsia" w:ascii="宋体" w:hAnsi="宋体" w:eastAsia="宋体"/>
                <w:b/>
                <w:bCs/>
                <w:color w:val="auto"/>
                <w:sz w:val="30"/>
                <w:szCs w:val="30"/>
                <w:highlight w:val="none"/>
              </w:rPr>
            </w:pPr>
            <w:r>
              <w:rPr>
                <w:rFonts w:hint="eastAsia" w:ascii="宋体" w:hAnsi="宋体" w:eastAsia="宋体"/>
                <w:b/>
                <w:bCs/>
                <w:color w:val="auto"/>
                <w:sz w:val="30"/>
                <w:szCs w:val="30"/>
                <w:highlight w:val="none"/>
              </w:rPr>
              <w:t>公开招标</w:t>
            </w:r>
          </w:p>
        </w:tc>
      </w:tr>
      <w:tr w14:paraId="5EA7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85" w:type="dxa"/>
            <w:tcBorders>
              <w:top w:val="single" w:color="auto" w:sz="4" w:space="0"/>
              <w:left w:val="single" w:color="auto" w:sz="4" w:space="0"/>
              <w:right w:val="single" w:color="auto" w:sz="4" w:space="0"/>
            </w:tcBorders>
            <w:vAlign w:val="center"/>
          </w:tcPr>
          <w:p w14:paraId="3212F3BA">
            <w:pPr>
              <w:adjustRightInd w:val="0"/>
              <w:snapToGrid w:val="0"/>
              <w:spacing w:line="440" w:lineRule="exact"/>
              <w:jc w:val="left"/>
              <w:rPr>
                <w:rFonts w:hint="eastAsia" w:ascii="宋体" w:hAnsi="宋体" w:eastAsia="宋体"/>
                <w:b/>
                <w:bCs/>
                <w:color w:val="auto"/>
                <w:sz w:val="30"/>
                <w:szCs w:val="30"/>
                <w:highlight w:val="none"/>
              </w:rPr>
            </w:pPr>
            <w:r>
              <w:rPr>
                <w:rFonts w:hint="eastAsia" w:ascii="宋体" w:hAnsi="宋体" w:eastAsia="宋体"/>
                <w:b/>
                <w:bCs/>
                <w:color w:val="auto"/>
                <w:sz w:val="30"/>
                <w:szCs w:val="30"/>
                <w:highlight w:val="none"/>
              </w:rPr>
              <w:t>采购单位</w:t>
            </w:r>
          </w:p>
        </w:tc>
        <w:tc>
          <w:tcPr>
            <w:tcW w:w="5704" w:type="dxa"/>
            <w:tcBorders>
              <w:top w:val="single" w:color="auto" w:sz="4" w:space="0"/>
              <w:left w:val="single" w:color="auto" w:sz="4" w:space="0"/>
              <w:right w:val="single" w:color="auto" w:sz="4" w:space="0"/>
            </w:tcBorders>
            <w:vAlign w:val="center"/>
          </w:tcPr>
          <w:p w14:paraId="78E1B527">
            <w:pPr>
              <w:adjustRightInd w:val="0"/>
              <w:snapToGrid w:val="0"/>
              <w:spacing w:line="440" w:lineRule="exact"/>
              <w:jc w:val="left"/>
              <w:rPr>
                <w:rFonts w:hint="eastAsia" w:ascii="宋体" w:hAnsi="宋体" w:eastAsia="宋体"/>
                <w:b/>
                <w:bCs/>
                <w:color w:val="auto"/>
                <w:sz w:val="30"/>
                <w:szCs w:val="30"/>
                <w:highlight w:val="none"/>
                <w:lang w:eastAsia="zh-CN"/>
              </w:rPr>
            </w:pPr>
            <w:r>
              <w:rPr>
                <w:rFonts w:hint="eastAsia" w:ascii="宋体" w:hAnsi="宋体"/>
                <w:b/>
                <w:bCs/>
                <w:color w:val="auto"/>
                <w:sz w:val="30"/>
                <w:szCs w:val="30"/>
                <w:highlight w:val="none"/>
                <w:lang w:eastAsia="zh-CN"/>
              </w:rPr>
              <w:t>温州公用事业发展集团泰顺水务有限公司</w:t>
            </w:r>
          </w:p>
        </w:tc>
      </w:tr>
      <w:tr w14:paraId="7C22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85" w:type="dxa"/>
            <w:tcBorders>
              <w:top w:val="single" w:color="auto" w:sz="4" w:space="0"/>
              <w:left w:val="single" w:color="auto" w:sz="4" w:space="0"/>
              <w:right w:val="single" w:color="auto" w:sz="4" w:space="0"/>
            </w:tcBorders>
            <w:vAlign w:val="center"/>
          </w:tcPr>
          <w:p w14:paraId="0ABD529C">
            <w:pPr>
              <w:adjustRightInd w:val="0"/>
              <w:snapToGrid w:val="0"/>
              <w:spacing w:line="440" w:lineRule="exact"/>
              <w:jc w:val="left"/>
              <w:rPr>
                <w:rFonts w:hint="eastAsia" w:ascii="宋体" w:hAnsi="宋体" w:eastAsia="宋体"/>
                <w:b/>
                <w:bCs/>
                <w:color w:val="auto"/>
                <w:sz w:val="30"/>
                <w:szCs w:val="30"/>
                <w:highlight w:val="none"/>
              </w:rPr>
            </w:pPr>
            <w:r>
              <w:rPr>
                <w:rFonts w:hint="eastAsia" w:ascii="宋体" w:hAnsi="宋体" w:eastAsia="宋体"/>
                <w:b/>
                <w:bCs/>
                <w:color w:val="auto"/>
                <w:sz w:val="30"/>
                <w:szCs w:val="30"/>
                <w:highlight w:val="none"/>
              </w:rPr>
              <w:t>招标代理机构</w:t>
            </w:r>
          </w:p>
        </w:tc>
        <w:tc>
          <w:tcPr>
            <w:tcW w:w="5704" w:type="dxa"/>
            <w:tcBorders>
              <w:top w:val="single" w:color="auto" w:sz="4" w:space="0"/>
              <w:left w:val="single" w:color="auto" w:sz="4" w:space="0"/>
              <w:right w:val="single" w:color="auto" w:sz="4" w:space="0"/>
            </w:tcBorders>
            <w:vAlign w:val="center"/>
          </w:tcPr>
          <w:p w14:paraId="180C510C">
            <w:pPr>
              <w:adjustRightInd w:val="0"/>
              <w:snapToGrid w:val="0"/>
              <w:spacing w:line="440" w:lineRule="exact"/>
              <w:jc w:val="left"/>
              <w:rPr>
                <w:rFonts w:hint="eastAsia" w:ascii="宋体" w:hAnsi="宋体" w:eastAsia="宋体"/>
                <w:b/>
                <w:bCs/>
                <w:color w:val="auto"/>
                <w:sz w:val="30"/>
                <w:szCs w:val="30"/>
                <w:highlight w:val="none"/>
                <w:lang w:eastAsia="zh-CN"/>
              </w:rPr>
            </w:pPr>
            <w:r>
              <w:rPr>
                <w:rFonts w:hint="eastAsia" w:ascii="宋体" w:hAnsi="宋体"/>
                <w:b/>
                <w:bCs/>
                <w:color w:val="auto"/>
                <w:sz w:val="30"/>
                <w:szCs w:val="30"/>
                <w:highlight w:val="none"/>
                <w:lang w:eastAsia="zh-CN"/>
              </w:rPr>
              <w:t>浙江三凌建设项目管理有限公司</w:t>
            </w:r>
          </w:p>
        </w:tc>
      </w:tr>
      <w:tr w14:paraId="5284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85" w:type="dxa"/>
            <w:tcBorders>
              <w:top w:val="single" w:color="auto" w:sz="4" w:space="0"/>
              <w:left w:val="single" w:color="auto" w:sz="4" w:space="0"/>
              <w:right w:val="single" w:color="auto" w:sz="4" w:space="0"/>
            </w:tcBorders>
            <w:vAlign w:val="center"/>
          </w:tcPr>
          <w:p w14:paraId="7ADE5849">
            <w:pPr>
              <w:adjustRightInd w:val="0"/>
              <w:snapToGrid w:val="0"/>
              <w:spacing w:line="440" w:lineRule="exact"/>
              <w:jc w:val="left"/>
              <w:rPr>
                <w:rFonts w:hint="default" w:ascii="宋体" w:hAnsi="宋体" w:eastAsia="宋体" w:cs="Times New Roman"/>
                <w:b/>
                <w:bCs/>
                <w:color w:val="auto"/>
                <w:sz w:val="30"/>
                <w:szCs w:val="30"/>
                <w:highlight w:val="none"/>
                <w:lang w:val="en-US" w:eastAsia="zh-CN"/>
              </w:rPr>
            </w:pPr>
            <w:r>
              <w:rPr>
                <w:rFonts w:hint="eastAsia" w:ascii="宋体" w:hAnsi="宋体" w:cs="宋体"/>
                <w:b/>
                <w:bCs/>
                <w:color w:val="auto"/>
                <w:sz w:val="32"/>
                <w:szCs w:val="32"/>
                <w:highlight w:val="none"/>
                <w:lang w:val="en-US" w:eastAsia="zh-CN"/>
              </w:rPr>
              <w:t>行业主管部门</w:t>
            </w:r>
          </w:p>
        </w:tc>
        <w:tc>
          <w:tcPr>
            <w:tcW w:w="5704" w:type="dxa"/>
            <w:tcBorders>
              <w:top w:val="single" w:color="auto" w:sz="4" w:space="0"/>
              <w:left w:val="single" w:color="auto" w:sz="4" w:space="0"/>
              <w:right w:val="single" w:color="auto" w:sz="4" w:space="0"/>
            </w:tcBorders>
            <w:vAlign w:val="center"/>
          </w:tcPr>
          <w:p w14:paraId="7B693DE2">
            <w:pPr>
              <w:adjustRightInd w:val="0"/>
              <w:snapToGrid w:val="0"/>
              <w:spacing w:line="440" w:lineRule="exact"/>
              <w:jc w:val="left"/>
              <w:rPr>
                <w:rFonts w:hint="default" w:ascii="宋体" w:hAnsi="宋体" w:eastAsia="宋体" w:cs="Times New Roman"/>
                <w:b/>
                <w:bCs/>
                <w:color w:val="auto"/>
                <w:sz w:val="30"/>
                <w:szCs w:val="30"/>
                <w:highlight w:val="none"/>
                <w:lang w:val="en-US" w:eastAsia="zh-CN"/>
              </w:rPr>
            </w:pPr>
            <w:r>
              <w:rPr>
                <w:rFonts w:hint="eastAsia" w:ascii="宋体" w:hAnsi="宋体" w:cs="Times New Roman"/>
                <w:b/>
                <w:bCs/>
                <w:color w:val="auto"/>
                <w:sz w:val="30"/>
                <w:szCs w:val="30"/>
                <w:highlight w:val="none"/>
                <w:lang w:val="en-US" w:eastAsia="zh-CN"/>
              </w:rPr>
              <w:t>泰顺县水利局</w:t>
            </w:r>
          </w:p>
        </w:tc>
      </w:tr>
    </w:tbl>
    <w:p w14:paraId="4190C82C">
      <w:pPr>
        <w:jc w:val="center"/>
        <w:rPr>
          <w:rFonts w:ascii="宋体" w:hAnsi="宋体"/>
          <w:bCs/>
          <w:color w:val="auto"/>
          <w:sz w:val="24"/>
          <w:highlight w:val="none"/>
        </w:rPr>
      </w:pPr>
    </w:p>
    <w:p w14:paraId="31ED00F4">
      <w:pPr>
        <w:jc w:val="center"/>
        <w:rPr>
          <w:rFonts w:ascii="宋体" w:hAnsi="宋体"/>
          <w:bCs/>
          <w:color w:val="auto"/>
          <w:sz w:val="24"/>
          <w:highlight w:val="none"/>
        </w:rPr>
      </w:pPr>
    </w:p>
    <w:p w14:paraId="4DA10804">
      <w:pPr>
        <w:spacing w:line="400" w:lineRule="exact"/>
        <w:jc w:val="center"/>
        <w:rPr>
          <w:rFonts w:ascii="宋体" w:hAnsi="宋体"/>
          <w:b/>
          <w:bCs/>
          <w:color w:val="auto"/>
          <w:spacing w:val="40"/>
          <w:sz w:val="30"/>
          <w:szCs w:val="30"/>
          <w:highlight w:val="none"/>
        </w:rPr>
      </w:pPr>
    </w:p>
    <w:p w14:paraId="4B1A04BC">
      <w:pPr>
        <w:spacing w:line="400" w:lineRule="exact"/>
        <w:jc w:val="center"/>
        <w:rPr>
          <w:rFonts w:hint="eastAsia" w:ascii="宋体" w:hAnsi="宋体" w:eastAsia="宋体" w:cs="楷体"/>
          <w:bCs/>
          <w:color w:val="auto"/>
          <w:sz w:val="44"/>
          <w:szCs w:val="44"/>
          <w:highlight w:val="none"/>
          <w:lang w:eastAsia="zh-CN"/>
        </w:rPr>
      </w:pPr>
      <w:r>
        <w:rPr>
          <w:rFonts w:hint="eastAsia" w:ascii="宋体" w:hAnsi="宋体"/>
          <w:b/>
          <w:bCs/>
          <w:color w:val="auto"/>
          <w:spacing w:val="40"/>
          <w:sz w:val="30"/>
          <w:szCs w:val="30"/>
          <w:highlight w:val="none"/>
          <w:lang w:eastAsia="zh-CN"/>
        </w:rPr>
        <w:t>二〇二</w:t>
      </w:r>
      <w:r>
        <w:rPr>
          <w:rFonts w:hint="eastAsia" w:ascii="宋体" w:hAnsi="宋体"/>
          <w:b/>
          <w:bCs/>
          <w:color w:val="auto"/>
          <w:spacing w:val="40"/>
          <w:sz w:val="30"/>
          <w:szCs w:val="30"/>
          <w:highlight w:val="none"/>
          <w:lang w:val="en-US" w:eastAsia="zh-CN"/>
        </w:rPr>
        <w:t>六</w:t>
      </w:r>
      <w:r>
        <w:rPr>
          <w:rFonts w:hint="eastAsia" w:ascii="宋体" w:hAnsi="宋体"/>
          <w:b/>
          <w:bCs/>
          <w:color w:val="auto"/>
          <w:spacing w:val="40"/>
          <w:sz w:val="30"/>
          <w:szCs w:val="30"/>
          <w:highlight w:val="none"/>
          <w:lang w:eastAsia="zh-CN"/>
        </w:rPr>
        <w:t>年</w:t>
      </w:r>
      <w:r>
        <w:rPr>
          <w:rFonts w:hint="eastAsia" w:ascii="宋体" w:hAnsi="宋体"/>
          <w:b/>
          <w:bCs/>
          <w:color w:val="auto"/>
          <w:spacing w:val="40"/>
          <w:sz w:val="30"/>
          <w:szCs w:val="30"/>
          <w:highlight w:val="none"/>
          <w:lang w:val="en-US" w:eastAsia="zh-CN"/>
        </w:rPr>
        <w:t>一</w:t>
      </w:r>
      <w:r>
        <w:rPr>
          <w:rFonts w:hint="eastAsia" w:ascii="宋体" w:hAnsi="宋体"/>
          <w:b/>
          <w:bCs/>
          <w:color w:val="auto"/>
          <w:spacing w:val="40"/>
          <w:sz w:val="30"/>
          <w:szCs w:val="30"/>
          <w:highlight w:val="none"/>
          <w:lang w:eastAsia="zh-CN"/>
        </w:rPr>
        <w:t>月</w:t>
      </w:r>
    </w:p>
    <w:p w14:paraId="545F7BC6">
      <w:pPr>
        <w:spacing w:line="400" w:lineRule="exact"/>
        <w:jc w:val="center"/>
        <w:rPr>
          <w:rFonts w:hint="eastAsia" w:ascii="宋体" w:hAnsi="宋体" w:cs="楷体"/>
          <w:bCs/>
          <w:color w:val="auto"/>
          <w:sz w:val="44"/>
          <w:szCs w:val="44"/>
          <w:highlight w:val="none"/>
        </w:rPr>
      </w:pPr>
    </w:p>
    <w:p w14:paraId="52C4F89D">
      <w:pPr>
        <w:spacing w:line="400" w:lineRule="exact"/>
        <w:jc w:val="center"/>
        <w:rPr>
          <w:rFonts w:hint="eastAsia" w:ascii="宋体" w:hAnsi="宋体" w:cs="楷体"/>
          <w:bCs/>
          <w:color w:val="auto"/>
          <w:sz w:val="44"/>
          <w:szCs w:val="44"/>
          <w:highlight w:val="none"/>
        </w:rPr>
        <w:sectPr>
          <w:headerReference r:id="rId4" w:type="first"/>
          <w:footerReference r:id="rId6" w:type="first"/>
          <w:headerReference r:id="rId3" w:type="default"/>
          <w:footerReference r:id="rId5" w:type="default"/>
          <w:pgSz w:w="11906" w:h="16838"/>
          <w:pgMar w:top="1440" w:right="1106" w:bottom="1440" w:left="1622" w:header="720" w:footer="720" w:gutter="0"/>
          <w:pgNumType w:start="1"/>
          <w:cols w:space="720" w:num="1"/>
          <w:docGrid w:type="lines" w:linePitch="312" w:charSpace="0"/>
        </w:sectPr>
      </w:pPr>
    </w:p>
    <w:p w14:paraId="5912EAC8">
      <w:pPr>
        <w:pStyle w:val="75"/>
        <w:rPr>
          <w:rFonts w:hint="eastAsia" w:ascii="宋体" w:hAnsi="宋体"/>
          <w:color w:val="auto"/>
          <w:highlight w:val="none"/>
        </w:rPr>
      </w:pPr>
    </w:p>
    <w:p w14:paraId="52D07BB2">
      <w:pPr>
        <w:spacing w:line="400" w:lineRule="exact"/>
        <w:jc w:val="center"/>
        <w:rPr>
          <w:rFonts w:hint="eastAsia" w:ascii="宋体" w:hAnsi="宋体" w:cs="楷体"/>
          <w:bCs/>
          <w:color w:val="auto"/>
          <w:sz w:val="44"/>
          <w:szCs w:val="44"/>
          <w:highlight w:val="none"/>
        </w:rPr>
      </w:pPr>
    </w:p>
    <w:p w14:paraId="498EF0B8">
      <w:pPr>
        <w:spacing w:line="400" w:lineRule="exact"/>
        <w:jc w:val="center"/>
        <w:rPr>
          <w:rFonts w:ascii="宋体" w:hAnsi="宋体" w:cs="楷体"/>
          <w:bCs/>
          <w:color w:val="auto"/>
          <w:sz w:val="44"/>
          <w:szCs w:val="44"/>
          <w:highlight w:val="none"/>
        </w:rPr>
      </w:pPr>
      <w:r>
        <w:rPr>
          <w:rFonts w:hint="eastAsia" w:ascii="宋体" w:hAnsi="宋体" w:cs="楷体"/>
          <w:bCs/>
          <w:color w:val="auto"/>
          <w:sz w:val="44"/>
          <w:szCs w:val="44"/>
          <w:highlight w:val="none"/>
        </w:rPr>
        <w:t>招标文件目录</w:t>
      </w:r>
    </w:p>
    <w:p w14:paraId="42348436">
      <w:pPr>
        <w:pStyle w:val="27"/>
        <w:tabs>
          <w:tab w:val="right" w:leader="dot" w:pos="9628"/>
        </w:tabs>
        <w:spacing w:line="360" w:lineRule="auto"/>
        <w:ind w:left="840" w:firstLine="420"/>
        <w:rPr>
          <w:rFonts w:hAnsi="宋体"/>
          <w:color w:val="auto"/>
          <w:sz w:val="28"/>
          <w:szCs w:val="28"/>
          <w:highlight w:val="none"/>
        </w:rPr>
      </w:pPr>
    </w:p>
    <w:p w14:paraId="603FDEA2">
      <w:pPr>
        <w:pStyle w:val="27"/>
        <w:tabs>
          <w:tab w:val="right" w:leader="dot" w:pos="9628"/>
        </w:tabs>
        <w:spacing w:line="360" w:lineRule="auto"/>
        <w:ind w:left="840" w:firstLine="420"/>
        <w:rPr>
          <w:rFonts w:hAnsi="宋体" w:cs="楷体"/>
          <w:b/>
          <w:bCs w:val="0"/>
          <w:color w:val="auto"/>
          <w:sz w:val="28"/>
          <w:szCs w:val="28"/>
          <w:highlight w:val="none"/>
        </w:rPr>
      </w:pPr>
    </w:p>
    <w:p w14:paraId="2B523DC0">
      <w:pPr>
        <w:pStyle w:val="27"/>
        <w:tabs>
          <w:tab w:val="right" w:leader="dot" w:pos="9628"/>
        </w:tabs>
        <w:spacing w:line="480" w:lineRule="auto"/>
        <w:ind w:left="839" w:firstLine="420"/>
        <w:rPr>
          <w:rFonts w:hAnsi="宋体" w:cs="楷体"/>
          <w:b/>
          <w:bCs w:val="0"/>
          <w:color w:val="auto"/>
          <w:sz w:val="28"/>
          <w:szCs w:val="28"/>
          <w:highlight w:val="none"/>
        </w:rPr>
      </w:pPr>
    </w:p>
    <w:p w14:paraId="1931C465">
      <w:pPr>
        <w:pStyle w:val="27"/>
        <w:tabs>
          <w:tab w:val="right" w:leader="dot" w:pos="9628"/>
        </w:tabs>
        <w:spacing w:line="480" w:lineRule="auto"/>
        <w:ind w:left="839" w:firstLine="420"/>
        <w:rPr>
          <w:rFonts w:hAnsi="宋体" w:cs="楷体"/>
          <w:bCs w:val="0"/>
          <w:color w:val="auto"/>
          <w:sz w:val="28"/>
          <w:szCs w:val="28"/>
          <w:highlight w:val="none"/>
        </w:rPr>
      </w:pPr>
      <w:r>
        <w:rPr>
          <w:rFonts w:hint="eastAsia" w:hAnsi="宋体" w:cs="楷体"/>
          <w:bCs w:val="0"/>
          <w:color w:val="auto"/>
          <w:sz w:val="28"/>
          <w:szCs w:val="28"/>
          <w:highlight w:val="none"/>
        </w:rPr>
        <w:t>第一部分、投标邀请函（投标须知前附表）</w:t>
      </w:r>
    </w:p>
    <w:p w14:paraId="118806D8">
      <w:pPr>
        <w:pStyle w:val="27"/>
        <w:tabs>
          <w:tab w:val="right" w:leader="dot" w:pos="9628"/>
        </w:tabs>
        <w:spacing w:line="480" w:lineRule="auto"/>
        <w:ind w:left="839" w:firstLine="420"/>
        <w:rPr>
          <w:rFonts w:hAnsi="宋体" w:cs="楷体"/>
          <w:bCs w:val="0"/>
          <w:color w:val="auto"/>
          <w:sz w:val="28"/>
          <w:szCs w:val="28"/>
          <w:highlight w:val="none"/>
        </w:rPr>
      </w:pPr>
      <w:r>
        <w:rPr>
          <w:rFonts w:hint="eastAsia" w:hAnsi="宋体" w:cs="楷体"/>
          <w:bCs w:val="0"/>
          <w:color w:val="auto"/>
          <w:sz w:val="28"/>
          <w:szCs w:val="28"/>
          <w:highlight w:val="none"/>
        </w:rPr>
        <w:t>第二部分、招标内容及技术要求</w:t>
      </w:r>
    </w:p>
    <w:p w14:paraId="14153673">
      <w:pPr>
        <w:pStyle w:val="27"/>
        <w:tabs>
          <w:tab w:val="right" w:leader="dot" w:pos="9628"/>
        </w:tabs>
        <w:spacing w:line="480" w:lineRule="auto"/>
        <w:ind w:left="839" w:firstLine="420"/>
        <w:rPr>
          <w:rFonts w:hAnsi="宋体" w:cs="楷体"/>
          <w:bCs w:val="0"/>
          <w:color w:val="auto"/>
          <w:sz w:val="28"/>
          <w:szCs w:val="28"/>
          <w:highlight w:val="none"/>
        </w:rPr>
      </w:pPr>
      <w:r>
        <w:rPr>
          <w:rFonts w:hint="eastAsia" w:hAnsi="宋体" w:cs="楷体"/>
          <w:bCs w:val="0"/>
          <w:color w:val="auto"/>
          <w:sz w:val="28"/>
          <w:szCs w:val="28"/>
          <w:highlight w:val="none"/>
        </w:rPr>
        <w:t>第三部分、供应商须知</w:t>
      </w:r>
    </w:p>
    <w:p w14:paraId="62A76101">
      <w:pPr>
        <w:pStyle w:val="27"/>
        <w:tabs>
          <w:tab w:val="right" w:leader="dot" w:pos="9628"/>
        </w:tabs>
        <w:spacing w:line="480" w:lineRule="auto"/>
        <w:ind w:left="839" w:firstLine="420"/>
        <w:rPr>
          <w:rFonts w:hAnsi="宋体" w:cs="楷体"/>
          <w:bCs w:val="0"/>
          <w:color w:val="auto"/>
          <w:sz w:val="28"/>
          <w:szCs w:val="28"/>
          <w:highlight w:val="none"/>
        </w:rPr>
      </w:pPr>
      <w:r>
        <w:rPr>
          <w:rFonts w:hint="eastAsia" w:hAnsi="宋体" w:cs="楷体"/>
          <w:bCs w:val="0"/>
          <w:color w:val="auto"/>
          <w:sz w:val="28"/>
          <w:szCs w:val="28"/>
          <w:highlight w:val="none"/>
        </w:rPr>
        <w:t>第四部分、国有企业采购政策功能相关说明</w:t>
      </w:r>
    </w:p>
    <w:p w14:paraId="6C156B10">
      <w:pPr>
        <w:pStyle w:val="27"/>
        <w:tabs>
          <w:tab w:val="right" w:leader="dot" w:pos="9628"/>
        </w:tabs>
        <w:spacing w:line="480" w:lineRule="auto"/>
        <w:ind w:left="839" w:firstLine="420"/>
        <w:rPr>
          <w:rFonts w:hAnsi="宋体" w:cs="楷体"/>
          <w:bCs w:val="0"/>
          <w:color w:val="auto"/>
          <w:sz w:val="28"/>
          <w:szCs w:val="28"/>
          <w:highlight w:val="none"/>
        </w:rPr>
      </w:pPr>
      <w:r>
        <w:rPr>
          <w:rFonts w:hint="eastAsia" w:hAnsi="宋体" w:cs="楷体"/>
          <w:bCs w:val="0"/>
          <w:color w:val="auto"/>
          <w:sz w:val="28"/>
          <w:szCs w:val="28"/>
          <w:highlight w:val="none"/>
        </w:rPr>
        <w:t>第五部分、合同格式</w:t>
      </w:r>
    </w:p>
    <w:p w14:paraId="5790190E">
      <w:pPr>
        <w:pStyle w:val="27"/>
        <w:tabs>
          <w:tab w:val="right" w:leader="dot" w:pos="9628"/>
        </w:tabs>
        <w:spacing w:line="480" w:lineRule="auto"/>
        <w:ind w:left="839" w:firstLine="420"/>
        <w:rPr>
          <w:rFonts w:hAnsi="宋体" w:cs="楷体"/>
          <w:bCs w:val="0"/>
          <w:color w:val="auto"/>
          <w:sz w:val="28"/>
          <w:szCs w:val="28"/>
          <w:highlight w:val="none"/>
        </w:rPr>
      </w:pPr>
      <w:r>
        <w:rPr>
          <w:rFonts w:hint="eastAsia" w:hAnsi="宋体" w:cs="楷体"/>
          <w:bCs w:val="0"/>
          <w:color w:val="auto"/>
          <w:sz w:val="28"/>
          <w:szCs w:val="28"/>
          <w:highlight w:val="none"/>
        </w:rPr>
        <w:t>第六部分、投标文件格式</w:t>
      </w:r>
    </w:p>
    <w:p w14:paraId="67BA7BE2">
      <w:pPr>
        <w:pStyle w:val="27"/>
        <w:tabs>
          <w:tab w:val="right" w:leader="dot" w:pos="9628"/>
        </w:tabs>
        <w:spacing w:line="480" w:lineRule="auto"/>
        <w:ind w:left="839" w:firstLine="420"/>
        <w:rPr>
          <w:rFonts w:hAnsi="宋体" w:cs="楷体"/>
          <w:bCs w:val="0"/>
          <w:color w:val="auto"/>
          <w:sz w:val="28"/>
          <w:szCs w:val="28"/>
          <w:highlight w:val="none"/>
        </w:rPr>
      </w:pPr>
      <w:r>
        <w:rPr>
          <w:rFonts w:hint="eastAsia" w:hAnsi="宋体" w:cs="楷体"/>
          <w:bCs w:val="0"/>
          <w:color w:val="auto"/>
          <w:sz w:val="28"/>
          <w:szCs w:val="28"/>
          <w:highlight w:val="none"/>
        </w:rPr>
        <w:t>第七部分、评标办法</w:t>
      </w:r>
    </w:p>
    <w:p w14:paraId="204A2AC2">
      <w:pPr>
        <w:pStyle w:val="27"/>
        <w:tabs>
          <w:tab w:val="right" w:leader="dot" w:pos="9628"/>
        </w:tabs>
        <w:spacing w:line="360" w:lineRule="auto"/>
        <w:ind w:left="840" w:firstLine="420"/>
        <w:rPr>
          <w:rFonts w:hAnsi="宋体" w:cs="楷体"/>
          <w:b/>
          <w:bCs w:val="0"/>
          <w:color w:val="auto"/>
          <w:sz w:val="28"/>
          <w:szCs w:val="28"/>
          <w:highlight w:val="none"/>
        </w:rPr>
      </w:pPr>
    </w:p>
    <w:p w14:paraId="5FEC1F42">
      <w:pPr>
        <w:spacing w:line="400" w:lineRule="exact"/>
        <w:jc w:val="center"/>
        <w:rPr>
          <w:rFonts w:ascii="宋体" w:hAnsi="宋体"/>
          <w:b/>
          <w:bCs/>
          <w:color w:val="auto"/>
          <w:sz w:val="32"/>
          <w:szCs w:val="32"/>
          <w:highlight w:val="none"/>
        </w:rPr>
      </w:pPr>
    </w:p>
    <w:p w14:paraId="16819DB2">
      <w:pPr>
        <w:spacing w:line="400" w:lineRule="exact"/>
        <w:jc w:val="center"/>
        <w:rPr>
          <w:rFonts w:ascii="宋体" w:hAnsi="宋体"/>
          <w:b/>
          <w:bCs/>
          <w:color w:val="auto"/>
          <w:sz w:val="32"/>
          <w:szCs w:val="32"/>
          <w:highlight w:val="none"/>
        </w:rPr>
      </w:pPr>
    </w:p>
    <w:p w14:paraId="33544981">
      <w:pPr>
        <w:spacing w:line="400" w:lineRule="exact"/>
        <w:jc w:val="center"/>
        <w:rPr>
          <w:rFonts w:ascii="宋体" w:hAnsi="宋体"/>
          <w:b/>
          <w:bCs/>
          <w:color w:val="auto"/>
          <w:sz w:val="32"/>
          <w:szCs w:val="32"/>
          <w:highlight w:val="none"/>
        </w:rPr>
      </w:pPr>
    </w:p>
    <w:p w14:paraId="724EA619">
      <w:pPr>
        <w:spacing w:line="400" w:lineRule="exact"/>
        <w:jc w:val="center"/>
        <w:rPr>
          <w:rFonts w:ascii="宋体" w:hAnsi="宋体"/>
          <w:b/>
          <w:bCs/>
          <w:color w:val="auto"/>
          <w:sz w:val="32"/>
          <w:szCs w:val="32"/>
          <w:highlight w:val="none"/>
        </w:rPr>
      </w:pPr>
    </w:p>
    <w:p w14:paraId="52DF0D58">
      <w:pPr>
        <w:pStyle w:val="27"/>
        <w:tabs>
          <w:tab w:val="right" w:leader="dot" w:pos="9628"/>
        </w:tabs>
        <w:spacing w:line="480" w:lineRule="auto"/>
        <w:ind w:left="839" w:firstLine="420"/>
        <w:rPr>
          <w:rFonts w:hAnsi="宋体" w:cs="楷体"/>
          <w:b/>
          <w:color w:val="auto"/>
          <w:szCs w:val="21"/>
          <w:highlight w:val="none"/>
          <w:u w:val="single"/>
        </w:rPr>
      </w:pPr>
      <w:r>
        <w:rPr>
          <w:rFonts w:hint="eastAsia" w:hAnsi="宋体" w:cs="楷体"/>
          <w:b/>
          <w:color w:val="auto"/>
          <w:szCs w:val="21"/>
          <w:highlight w:val="none"/>
          <w:u w:val="single"/>
        </w:rPr>
        <w:t>注：招标文件中标注“▲”加粗的为招标的实质性要求和条件，不允许偏离，否则作无效标处理。招标文件中标“★”号的为重要技术参数条款，根据评标细则予以评分。供应商必须认真阅读和理解招标文件文件中的每一个条款及要求，因误读招标文件而造成的后果，采购单位及招标代理机构概不负责。</w:t>
      </w:r>
    </w:p>
    <w:p w14:paraId="748A91BC">
      <w:pPr>
        <w:spacing w:line="400" w:lineRule="exact"/>
        <w:jc w:val="center"/>
        <w:rPr>
          <w:rFonts w:ascii="宋体" w:hAnsi="宋体"/>
          <w:b/>
          <w:bCs/>
          <w:color w:val="auto"/>
          <w:sz w:val="32"/>
          <w:szCs w:val="32"/>
          <w:highlight w:val="none"/>
        </w:rPr>
      </w:pPr>
    </w:p>
    <w:p w14:paraId="1BC2E72D">
      <w:pPr>
        <w:spacing w:line="400" w:lineRule="exact"/>
        <w:jc w:val="center"/>
        <w:rPr>
          <w:rFonts w:hint="eastAsia" w:ascii="宋体" w:hAnsi="宋体"/>
          <w:b/>
          <w:bCs/>
          <w:color w:val="auto"/>
          <w:sz w:val="32"/>
          <w:szCs w:val="32"/>
          <w:highlight w:val="none"/>
        </w:rPr>
      </w:pPr>
    </w:p>
    <w:p w14:paraId="2F0FB95A">
      <w:pPr>
        <w:rPr>
          <w:rFonts w:hint="eastAsia" w:ascii="Cambria" w:hAnsi="Cambria"/>
          <w:b/>
          <w:bCs/>
          <w:color w:val="auto"/>
          <w:kern w:val="0"/>
          <w:sz w:val="32"/>
          <w:szCs w:val="32"/>
          <w:highlight w:val="none"/>
        </w:rPr>
      </w:pPr>
    </w:p>
    <w:p w14:paraId="0BBEF852">
      <w:pPr>
        <w:spacing w:line="400" w:lineRule="exact"/>
        <w:jc w:val="center"/>
        <w:rPr>
          <w:rFonts w:hint="eastAsia" w:ascii="宋体" w:hAnsi="宋体"/>
          <w:b/>
          <w:bCs/>
          <w:color w:val="auto"/>
          <w:sz w:val="32"/>
          <w:szCs w:val="32"/>
          <w:highlight w:val="none"/>
        </w:rPr>
      </w:pPr>
    </w:p>
    <w:p w14:paraId="08EDEFF1">
      <w:pPr>
        <w:rPr>
          <w:rFonts w:hint="eastAsia" w:ascii="宋体" w:hAnsi="宋体" w:cs="宋体"/>
          <w:b/>
          <w:bCs/>
          <w:color w:val="auto"/>
          <w:kern w:val="0"/>
          <w:sz w:val="36"/>
          <w:szCs w:val="36"/>
          <w:highlight w:val="none"/>
        </w:rPr>
      </w:pPr>
      <w:r>
        <w:rPr>
          <w:rFonts w:hint="eastAsia" w:ascii="宋体" w:hAnsi="宋体" w:cs="宋体"/>
          <w:b/>
          <w:bCs/>
          <w:color w:val="auto"/>
          <w:kern w:val="0"/>
          <w:sz w:val="36"/>
          <w:szCs w:val="36"/>
          <w:highlight w:val="none"/>
        </w:rPr>
        <w:br w:type="page"/>
      </w:r>
    </w:p>
    <w:p w14:paraId="7B813914">
      <w:pPr>
        <w:spacing w:line="400" w:lineRule="exact"/>
        <w:ind w:firstLine="723" w:firstLineChars="200"/>
        <w:jc w:val="center"/>
        <w:rPr>
          <w:rFonts w:hint="eastAsia" w:ascii="宋体" w:hAnsi="宋体" w:cs="宋体"/>
          <w:b/>
          <w:bCs/>
          <w:color w:val="auto"/>
          <w:kern w:val="0"/>
          <w:sz w:val="22"/>
          <w:highlight w:val="none"/>
        </w:rPr>
      </w:pPr>
      <w:r>
        <w:rPr>
          <w:rFonts w:hint="eastAsia" w:ascii="宋体" w:hAnsi="宋体" w:cs="宋体"/>
          <w:b/>
          <w:bCs/>
          <w:color w:val="auto"/>
          <w:kern w:val="0"/>
          <w:sz w:val="36"/>
          <w:szCs w:val="36"/>
          <w:highlight w:val="none"/>
        </w:rPr>
        <w:t>关于</w:t>
      </w:r>
      <w:r>
        <w:rPr>
          <w:rFonts w:hint="eastAsia" w:ascii="宋体" w:hAnsi="宋体" w:cs="宋体"/>
          <w:b/>
          <w:bCs/>
          <w:color w:val="auto"/>
          <w:kern w:val="0"/>
          <w:sz w:val="36"/>
          <w:szCs w:val="36"/>
          <w:highlight w:val="none"/>
          <w:lang w:eastAsia="zh-CN"/>
        </w:rPr>
        <w:t>龟湖镇水厂备用水源工程设备采购</w:t>
      </w:r>
      <w:r>
        <w:rPr>
          <w:rFonts w:hint="eastAsia" w:ascii="宋体" w:hAnsi="宋体" w:cs="宋体"/>
          <w:b/>
          <w:bCs/>
          <w:color w:val="auto"/>
          <w:kern w:val="0"/>
          <w:sz w:val="36"/>
          <w:szCs w:val="36"/>
          <w:highlight w:val="none"/>
        </w:rPr>
        <w:t>公开招标采购公告</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4"/>
      </w:tblGrid>
      <w:tr w14:paraId="2478F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9394" w:type="dxa"/>
          </w:tcPr>
          <w:p w14:paraId="7E95FE4D">
            <w:pPr>
              <w:tabs>
                <w:tab w:val="left" w:pos="360"/>
              </w:tabs>
              <w:spacing w:line="360" w:lineRule="auto"/>
              <w:rPr>
                <w:rFonts w:hint="eastAsia" w:ascii="宋体" w:hAnsi="宋体" w:eastAsia="宋体"/>
                <w:bCs/>
                <w:color w:val="auto"/>
                <w:kern w:val="0"/>
                <w:szCs w:val="21"/>
                <w:highlight w:val="none"/>
              </w:rPr>
            </w:pPr>
            <w:r>
              <w:rPr>
                <w:rFonts w:hint="eastAsia" w:ascii="宋体" w:hAnsi="宋体" w:eastAsia="宋体"/>
                <w:bCs/>
                <w:color w:val="auto"/>
                <w:kern w:val="0"/>
                <w:szCs w:val="21"/>
                <w:highlight w:val="none"/>
              </w:rPr>
              <w:t>项目概况</w:t>
            </w:r>
          </w:p>
          <w:p w14:paraId="37018BAF">
            <w:pPr>
              <w:tabs>
                <w:tab w:val="left" w:pos="360"/>
              </w:tabs>
              <w:spacing w:line="360" w:lineRule="auto"/>
              <w:ind w:firstLine="420" w:firstLineChars="200"/>
              <w:rPr>
                <w:rFonts w:hint="eastAsia" w:ascii="宋体" w:hAnsi="宋体" w:eastAsia="宋体"/>
                <w:bCs/>
                <w:color w:val="auto"/>
                <w:kern w:val="0"/>
                <w:sz w:val="22"/>
                <w:highlight w:val="none"/>
              </w:rPr>
            </w:pPr>
            <w:r>
              <w:rPr>
                <w:rFonts w:hint="eastAsia" w:ascii="宋体" w:hAnsi="宋体"/>
                <w:bCs/>
                <w:color w:val="auto"/>
                <w:kern w:val="0"/>
                <w:szCs w:val="21"/>
                <w:highlight w:val="none"/>
                <w:u w:val="single"/>
                <w:lang w:eastAsia="zh-CN"/>
              </w:rPr>
              <w:t>龟湖镇水厂备用水源工程设备采购</w:t>
            </w:r>
            <w:r>
              <w:rPr>
                <w:rFonts w:hint="eastAsia" w:ascii="宋体" w:hAnsi="宋体" w:eastAsia="宋体"/>
                <w:bCs/>
                <w:color w:val="auto"/>
                <w:kern w:val="0"/>
                <w:szCs w:val="21"/>
                <w:highlight w:val="none"/>
              </w:rPr>
              <w:t>项目的潜在供应商应在</w:t>
            </w:r>
            <w:r>
              <w:rPr>
                <w:rFonts w:hint="eastAsia" w:ascii="宋体" w:hAnsi="宋体" w:eastAsia="宋体"/>
                <w:bCs/>
                <w:color w:val="auto"/>
                <w:kern w:val="0"/>
                <w:szCs w:val="21"/>
                <w:highlight w:val="none"/>
                <w:u w:val="single"/>
              </w:rPr>
              <w:t>泰顺县人民政府网-县公共资源交易平台</w:t>
            </w:r>
            <w:r>
              <w:rPr>
                <w:rFonts w:hint="eastAsia" w:ascii="宋体" w:hAnsi="宋体" w:eastAsia="宋体"/>
                <w:bCs/>
                <w:color w:val="auto"/>
                <w:kern w:val="0"/>
                <w:szCs w:val="21"/>
                <w:highlight w:val="none"/>
                <w:u w:val="none"/>
              </w:rPr>
              <w:t>（网址：</w:t>
            </w:r>
            <w:r>
              <w:rPr>
                <w:rStyle w:val="50"/>
                <w:rFonts w:hint="eastAsia" w:ascii="宋体" w:hAnsi="宋体" w:eastAsia="宋体"/>
                <w:bCs/>
                <w:color w:val="auto"/>
                <w:kern w:val="0"/>
                <w:szCs w:val="21"/>
                <w:highlight w:val="none"/>
              </w:rPr>
              <w:fldChar w:fldCharType="begin"/>
            </w:r>
            <w:r>
              <w:rPr>
                <w:highlight w:val="none"/>
              </w:rPr>
              <w:instrText xml:space="preserve">HYPERLINK "http://www.ts.gov.cn/col/col1383420/index.html）获取采购文件，并于2022年"</w:instrText>
            </w:r>
            <w:r>
              <w:rPr>
                <w:rStyle w:val="50"/>
                <w:rFonts w:hint="eastAsia" w:ascii="宋体" w:hAnsi="宋体" w:eastAsia="宋体"/>
                <w:bCs/>
                <w:color w:val="auto"/>
                <w:kern w:val="0"/>
                <w:szCs w:val="21"/>
                <w:highlight w:val="none"/>
              </w:rPr>
              <w:fldChar w:fldCharType="separate"/>
            </w:r>
            <w:r>
              <w:rPr>
                <w:rStyle w:val="50"/>
                <w:rFonts w:hint="eastAsia" w:ascii="宋体" w:hAnsi="宋体" w:eastAsia="宋体"/>
                <w:bCs/>
                <w:color w:val="auto"/>
                <w:kern w:val="0"/>
                <w:szCs w:val="21"/>
                <w:highlight w:val="none"/>
              </w:rPr>
              <w:t>http://www.ts.gov.cn/col/col1383420/index.html）</w:t>
            </w:r>
            <w:r>
              <w:rPr>
                <w:rStyle w:val="50"/>
                <w:rFonts w:hint="eastAsia" w:ascii="宋体" w:hAnsi="宋体"/>
                <w:bCs/>
                <w:color w:val="auto"/>
                <w:kern w:val="0"/>
                <w:szCs w:val="21"/>
                <w:highlight w:val="none"/>
                <w:lang w:val="en-US" w:eastAsia="zh-CN"/>
              </w:rPr>
              <w:t>下载招标文件</w:t>
            </w:r>
            <w:r>
              <w:rPr>
                <w:rStyle w:val="50"/>
                <w:rFonts w:hint="eastAsia" w:ascii="宋体" w:hAnsi="宋体" w:eastAsia="宋体"/>
                <w:bCs/>
                <w:color w:val="auto"/>
                <w:kern w:val="0"/>
                <w:szCs w:val="21"/>
                <w:highlight w:val="none"/>
              </w:rPr>
              <w:t>，</w:t>
            </w:r>
            <w:r>
              <w:rPr>
                <w:rStyle w:val="50"/>
                <w:rFonts w:hint="eastAsia" w:ascii="宋体" w:hAnsi="宋体"/>
                <w:bCs/>
                <w:color w:val="auto"/>
                <w:kern w:val="0"/>
                <w:szCs w:val="21"/>
                <w:highlight w:val="none"/>
                <w:lang w:val="en-US" w:eastAsia="zh-CN"/>
              </w:rPr>
              <w:t>于</w:t>
            </w:r>
            <w:r>
              <w:rPr>
                <w:rStyle w:val="50"/>
                <w:rFonts w:hint="eastAsia" w:ascii="宋体" w:hAnsi="宋体"/>
                <w:bCs/>
                <w:color w:val="auto"/>
                <w:kern w:val="0"/>
                <w:szCs w:val="21"/>
                <w:highlight w:val="none"/>
                <w:lang w:eastAsia="zh-CN"/>
              </w:rPr>
              <w:t>2026年2月6日</w:t>
            </w:r>
            <w:r>
              <w:rPr>
                <w:rStyle w:val="50"/>
                <w:rFonts w:hint="eastAsia" w:ascii="宋体" w:hAnsi="宋体" w:eastAsia="宋体"/>
                <w:bCs/>
                <w:color w:val="auto"/>
                <w:kern w:val="0"/>
                <w:szCs w:val="21"/>
                <w:highlight w:val="none"/>
                <w:lang w:eastAsia="zh-CN"/>
              </w:rPr>
              <w:t>15:00时</w:t>
            </w:r>
            <w:r>
              <w:rPr>
                <w:rStyle w:val="50"/>
                <w:rFonts w:hint="eastAsia" w:ascii="宋体" w:hAnsi="宋体" w:eastAsia="宋体"/>
                <w:bCs/>
                <w:color w:val="auto"/>
                <w:kern w:val="0"/>
                <w:szCs w:val="21"/>
                <w:highlight w:val="none"/>
              </w:rPr>
              <w:fldChar w:fldCharType="end"/>
            </w:r>
            <w:r>
              <w:rPr>
                <w:rFonts w:hint="eastAsia" w:ascii="宋体" w:hAnsi="宋体" w:eastAsia="宋体"/>
                <w:bCs/>
                <w:color w:val="auto"/>
                <w:kern w:val="0"/>
                <w:szCs w:val="21"/>
                <w:highlight w:val="none"/>
              </w:rPr>
              <w:t>前提交响应文件。</w:t>
            </w:r>
          </w:p>
        </w:tc>
      </w:tr>
    </w:tbl>
    <w:p w14:paraId="611BF94D">
      <w:pPr>
        <w:tabs>
          <w:tab w:val="left" w:pos="360"/>
        </w:tabs>
        <w:spacing w:line="360" w:lineRule="auto"/>
        <w:jc w:val="left"/>
        <w:rPr>
          <w:rFonts w:hint="eastAsia" w:ascii="宋体" w:hAnsi="宋体"/>
          <w:b/>
          <w:color w:val="auto"/>
          <w:kern w:val="0"/>
          <w:sz w:val="22"/>
          <w:highlight w:val="none"/>
        </w:rPr>
      </w:pPr>
      <w:bookmarkStart w:id="1" w:name="_Toc35393798"/>
      <w:bookmarkStart w:id="2" w:name="_Toc28359089"/>
      <w:bookmarkStart w:id="3" w:name="_Toc35393629"/>
      <w:bookmarkStart w:id="4" w:name="_Toc28359012"/>
      <w:r>
        <w:rPr>
          <w:rFonts w:hint="eastAsia" w:ascii="宋体" w:hAnsi="宋体"/>
          <w:b/>
          <w:color w:val="auto"/>
          <w:kern w:val="0"/>
          <w:sz w:val="22"/>
          <w:highlight w:val="none"/>
        </w:rPr>
        <w:t>一、项目基本情况</w:t>
      </w:r>
      <w:bookmarkEnd w:id="1"/>
      <w:bookmarkEnd w:id="2"/>
      <w:bookmarkEnd w:id="3"/>
      <w:bookmarkEnd w:id="4"/>
    </w:p>
    <w:p w14:paraId="051C5DFF">
      <w:pPr>
        <w:tabs>
          <w:tab w:val="left" w:pos="360"/>
        </w:tabs>
        <w:spacing w:line="360" w:lineRule="auto"/>
        <w:ind w:firstLine="440" w:firstLineChars="200"/>
        <w:rPr>
          <w:rFonts w:hint="eastAsia" w:ascii="宋体" w:hAnsi="宋体"/>
          <w:bCs/>
          <w:color w:val="auto"/>
          <w:kern w:val="0"/>
          <w:sz w:val="22"/>
          <w:highlight w:val="none"/>
        </w:rPr>
      </w:pPr>
      <w:r>
        <w:rPr>
          <w:rFonts w:hint="eastAsia" w:ascii="宋体" w:hAnsi="宋体"/>
          <w:bCs/>
          <w:color w:val="auto"/>
          <w:kern w:val="0"/>
          <w:sz w:val="22"/>
          <w:highlight w:val="none"/>
        </w:rPr>
        <w:t>项目编号：</w:t>
      </w:r>
      <w:r>
        <w:rPr>
          <w:rFonts w:hint="eastAsia" w:ascii="宋体" w:hAnsi="宋体"/>
          <w:bCs/>
          <w:color w:val="auto"/>
          <w:kern w:val="0"/>
          <w:sz w:val="22"/>
          <w:highlight w:val="none"/>
          <w:lang w:val="en-US" w:eastAsia="zh-CN"/>
        </w:rPr>
        <w:t xml:space="preserve">TSCG202601002 </w:t>
      </w:r>
    </w:p>
    <w:p w14:paraId="25121065">
      <w:pPr>
        <w:tabs>
          <w:tab w:val="left" w:pos="360"/>
        </w:tabs>
        <w:spacing w:line="360" w:lineRule="auto"/>
        <w:ind w:firstLine="440" w:firstLineChars="200"/>
        <w:rPr>
          <w:rFonts w:hint="eastAsia" w:ascii="宋体" w:hAnsi="宋体" w:eastAsia="宋体"/>
          <w:bCs/>
          <w:color w:val="auto"/>
          <w:kern w:val="0"/>
          <w:sz w:val="22"/>
          <w:highlight w:val="none"/>
          <w:lang w:eastAsia="zh-CN"/>
        </w:rPr>
      </w:pPr>
      <w:r>
        <w:rPr>
          <w:rFonts w:hint="eastAsia" w:ascii="宋体" w:hAnsi="宋体"/>
          <w:bCs/>
          <w:color w:val="auto"/>
          <w:kern w:val="0"/>
          <w:sz w:val="22"/>
          <w:highlight w:val="none"/>
        </w:rPr>
        <w:t>项目名称：</w:t>
      </w:r>
      <w:r>
        <w:rPr>
          <w:rFonts w:hint="eastAsia" w:ascii="宋体" w:hAnsi="宋体" w:cs="宋体"/>
          <w:color w:val="auto"/>
          <w:kern w:val="0"/>
          <w:sz w:val="22"/>
          <w:highlight w:val="none"/>
        </w:rPr>
        <w:t xml:space="preserve"> </w:t>
      </w:r>
      <w:r>
        <w:rPr>
          <w:rFonts w:hint="eastAsia" w:ascii="宋体" w:hAnsi="宋体" w:cs="宋体"/>
          <w:color w:val="auto"/>
          <w:kern w:val="0"/>
          <w:sz w:val="22"/>
          <w:highlight w:val="none"/>
          <w:lang w:eastAsia="zh-CN"/>
        </w:rPr>
        <w:t>龟湖镇水厂备用水源工程设备采购</w:t>
      </w:r>
    </w:p>
    <w:p w14:paraId="4A7C8324">
      <w:pPr>
        <w:tabs>
          <w:tab w:val="left" w:pos="360"/>
        </w:tabs>
        <w:spacing w:line="360" w:lineRule="auto"/>
        <w:ind w:firstLine="440" w:firstLineChars="200"/>
        <w:rPr>
          <w:rFonts w:hint="eastAsia" w:ascii="宋体" w:hAnsi="宋体"/>
          <w:bCs/>
          <w:color w:val="auto"/>
          <w:kern w:val="0"/>
          <w:sz w:val="22"/>
          <w:highlight w:val="none"/>
        </w:rPr>
      </w:pPr>
      <w:r>
        <w:rPr>
          <w:rFonts w:hint="eastAsia" w:ascii="宋体" w:hAnsi="宋体"/>
          <w:bCs/>
          <w:color w:val="auto"/>
          <w:kern w:val="0"/>
          <w:sz w:val="22"/>
          <w:highlight w:val="none"/>
        </w:rPr>
        <w:t>采购方式：公开招标</w:t>
      </w:r>
    </w:p>
    <w:p w14:paraId="4F11618E">
      <w:pPr>
        <w:tabs>
          <w:tab w:val="left" w:pos="360"/>
        </w:tabs>
        <w:spacing w:line="360" w:lineRule="auto"/>
        <w:ind w:firstLine="440" w:firstLineChars="200"/>
        <w:rPr>
          <w:rFonts w:hint="eastAsia" w:ascii="宋体" w:cs="Times New Roman"/>
          <w:color w:val="auto"/>
          <w:sz w:val="22"/>
          <w:szCs w:val="20"/>
          <w:highlight w:val="none"/>
          <w:lang w:val="en-US" w:eastAsia="zh-CN"/>
        </w:rPr>
      </w:pPr>
      <w:r>
        <w:rPr>
          <w:rFonts w:hint="eastAsia" w:ascii="宋体" w:hAnsi="宋体"/>
          <w:bCs/>
          <w:color w:val="auto"/>
          <w:kern w:val="0"/>
          <w:sz w:val="22"/>
          <w:highlight w:val="none"/>
        </w:rPr>
        <w:t>预算金额：</w:t>
      </w:r>
      <w:r>
        <w:rPr>
          <w:rFonts w:hint="eastAsia" w:ascii="宋体" w:cs="Times New Roman"/>
          <w:color w:val="auto"/>
          <w:sz w:val="22"/>
          <w:szCs w:val="20"/>
          <w:highlight w:val="none"/>
          <w:lang w:val="en-US" w:eastAsia="zh-CN"/>
        </w:rPr>
        <w:t>131.9784万元</w:t>
      </w:r>
    </w:p>
    <w:p w14:paraId="26EF7F2D">
      <w:pPr>
        <w:tabs>
          <w:tab w:val="left" w:pos="360"/>
        </w:tabs>
        <w:spacing w:line="360" w:lineRule="auto"/>
        <w:ind w:firstLine="440" w:firstLineChars="200"/>
        <w:rPr>
          <w:rFonts w:hint="default" w:ascii="宋体" w:hAnsi="宋体"/>
          <w:bCs/>
          <w:color w:val="auto"/>
          <w:kern w:val="0"/>
          <w:sz w:val="22"/>
          <w:highlight w:val="none"/>
          <w:lang w:val="en-US"/>
        </w:rPr>
      </w:pPr>
      <w:r>
        <w:rPr>
          <w:rFonts w:hint="eastAsia" w:ascii="宋体" w:hAnsi="宋体"/>
          <w:bCs/>
          <w:color w:val="auto"/>
          <w:kern w:val="0"/>
          <w:sz w:val="22"/>
          <w:highlight w:val="none"/>
        </w:rPr>
        <w:t>最高限价：</w:t>
      </w:r>
      <w:r>
        <w:rPr>
          <w:rFonts w:hint="eastAsia" w:ascii="宋体" w:cs="Times New Roman"/>
          <w:color w:val="auto"/>
          <w:sz w:val="22"/>
          <w:szCs w:val="20"/>
          <w:highlight w:val="none"/>
          <w:lang w:val="en-US" w:eastAsia="zh-CN"/>
        </w:rPr>
        <w:t>131.9784万元</w:t>
      </w:r>
    </w:p>
    <w:p w14:paraId="23598C5D">
      <w:pPr>
        <w:spacing w:line="360" w:lineRule="auto"/>
        <w:ind w:firstLine="440" w:firstLineChars="200"/>
        <w:rPr>
          <w:rFonts w:hint="default" w:ascii="宋体" w:hAnsi="宋体"/>
          <w:bCs/>
          <w:color w:val="auto"/>
          <w:kern w:val="0"/>
          <w:sz w:val="22"/>
          <w:highlight w:val="none"/>
          <w:lang w:val="en-US"/>
        </w:rPr>
      </w:pPr>
      <w:r>
        <w:rPr>
          <w:rFonts w:hint="eastAsia" w:ascii="宋体" w:hAnsi="宋体"/>
          <w:bCs/>
          <w:color w:val="auto"/>
          <w:kern w:val="0"/>
          <w:sz w:val="22"/>
          <w:highlight w:val="none"/>
        </w:rPr>
        <w:t>采购需求：</w:t>
      </w:r>
      <w:r>
        <w:rPr>
          <w:rFonts w:hint="eastAsia" w:ascii="宋体" w:hAnsi="宋体" w:cs="宋体"/>
          <w:color w:val="auto"/>
          <w:kern w:val="0"/>
          <w:sz w:val="22"/>
          <w:highlight w:val="none"/>
          <w:lang w:eastAsia="zh-CN"/>
        </w:rPr>
        <w:t>龟湖镇水厂备用水源工程设备</w:t>
      </w:r>
      <w:r>
        <w:rPr>
          <w:rFonts w:hint="eastAsia" w:ascii="宋体" w:hAnsi="宋体" w:cs="宋体"/>
          <w:color w:val="auto"/>
          <w:kern w:val="0"/>
          <w:sz w:val="22"/>
          <w:highlight w:val="none"/>
          <w:lang w:val="en-US" w:eastAsia="zh-CN"/>
        </w:rPr>
        <w:t>采购</w:t>
      </w:r>
    </w:p>
    <w:p w14:paraId="2EBB1E54">
      <w:pPr>
        <w:tabs>
          <w:tab w:val="left" w:pos="360"/>
        </w:tabs>
        <w:spacing w:line="360" w:lineRule="auto"/>
        <w:ind w:firstLine="440" w:firstLineChars="200"/>
        <w:rPr>
          <w:rFonts w:ascii="宋体" w:hAnsi="宋体"/>
          <w:bCs/>
          <w:color w:val="auto"/>
          <w:kern w:val="0"/>
          <w:sz w:val="22"/>
          <w:highlight w:val="none"/>
        </w:rPr>
      </w:pPr>
      <w:r>
        <w:rPr>
          <w:rFonts w:hint="eastAsia" w:ascii="宋体" w:hAnsi="宋体"/>
          <w:bCs/>
          <w:color w:val="auto"/>
          <w:kern w:val="0"/>
          <w:sz w:val="22"/>
          <w:highlight w:val="none"/>
        </w:rPr>
        <w:t>合同履行期限：自签订合同之日起至项目质保期结束。</w:t>
      </w:r>
    </w:p>
    <w:p w14:paraId="103D8DED">
      <w:pPr>
        <w:tabs>
          <w:tab w:val="left" w:pos="360"/>
        </w:tabs>
        <w:spacing w:line="360" w:lineRule="auto"/>
        <w:rPr>
          <w:rFonts w:hint="eastAsia" w:ascii="宋体" w:hAnsi="宋体"/>
          <w:b/>
          <w:color w:val="auto"/>
          <w:kern w:val="0"/>
          <w:sz w:val="22"/>
          <w:highlight w:val="none"/>
        </w:rPr>
      </w:pPr>
      <w:bookmarkStart w:id="5" w:name="_Toc28359013"/>
      <w:bookmarkStart w:id="6" w:name="_Toc28359090"/>
      <w:bookmarkStart w:id="7" w:name="_Toc35393630"/>
      <w:bookmarkStart w:id="8" w:name="_Toc35393799"/>
      <w:r>
        <w:rPr>
          <w:rFonts w:hint="eastAsia" w:ascii="宋体" w:hAnsi="宋体"/>
          <w:b/>
          <w:color w:val="auto"/>
          <w:kern w:val="0"/>
          <w:sz w:val="22"/>
          <w:highlight w:val="none"/>
        </w:rPr>
        <w:t>二、</w:t>
      </w:r>
      <w:r>
        <w:rPr>
          <w:rFonts w:hint="eastAsia" w:ascii="宋体" w:hAnsi="宋体"/>
          <w:b/>
          <w:color w:val="auto"/>
          <w:kern w:val="0"/>
          <w:sz w:val="22"/>
          <w:highlight w:val="none"/>
          <w:lang w:eastAsia="zh-CN"/>
        </w:rPr>
        <w:t>投标人资格</w:t>
      </w:r>
      <w:r>
        <w:rPr>
          <w:rFonts w:hint="eastAsia" w:ascii="宋体" w:hAnsi="宋体"/>
          <w:b/>
          <w:color w:val="auto"/>
          <w:kern w:val="0"/>
          <w:sz w:val="22"/>
          <w:highlight w:val="none"/>
        </w:rPr>
        <w:t>：</w:t>
      </w:r>
      <w:bookmarkEnd w:id="5"/>
      <w:bookmarkEnd w:id="6"/>
      <w:bookmarkEnd w:id="7"/>
      <w:bookmarkEnd w:id="8"/>
    </w:p>
    <w:p w14:paraId="141654E0">
      <w:pPr>
        <w:tabs>
          <w:tab w:val="left" w:pos="360"/>
        </w:tabs>
        <w:spacing w:line="360" w:lineRule="auto"/>
        <w:ind w:firstLine="440" w:firstLineChars="200"/>
        <w:rPr>
          <w:rFonts w:hint="eastAsia" w:ascii="宋体" w:hAnsi="宋体" w:cs="宋体"/>
          <w:bCs/>
          <w:color w:val="auto"/>
          <w:kern w:val="0"/>
          <w:sz w:val="22"/>
          <w:highlight w:val="none"/>
        </w:rPr>
      </w:pPr>
      <w:bookmarkStart w:id="9" w:name="_Toc35393631"/>
      <w:bookmarkStart w:id="10" w:name="_Toc28359014"/>
      <w:bookmarkStart w:id="11" w:name="_Toc35393800"/>
      <w:bookmarkStart w:id="12" w:name="_Toc28359091"/>
      <w:r>
        <w:rPr>
          <w:rFonts w:hint="eastAsia" w:ascii="宋体" w:hAnsi="宋体" w:cs="宋体"/>
          <w:bCs/>
          <w:color w:val="auto"/>
          <w:kern w:val="0"/>
          <w:sz w:val="22"/>
          <w:highlight w:val="none"/>
        </w:rPr>
        <w:t>1、</w:t>
      </w:r>
      <w:r>
        <w:rPr>
          <w:rFonts w:hint="eastAsia" w:ascii="宋体" w:hAnsi="宋体" w:cs="宋体"/>
          <w:bCs/>
          <w:color w:val="auto"/>
          <w:kern w:val="0"/>
          <w:sz w:val="22"/>
          <w:highlight w:val="none"/>
          <w:lang w:eastAsia="zh-CN"/>
        </w:rPr>
        <w:t>符合</w:t>
      </w:r>
      <w:r>
        <w:rPr>
          <w:rFonts w:hint="eastAsia" w:ascii="宋体" w:hAnsi="宋体" w:eastAsia="宋体" w:cs="宋体"/>
          <w:sz w:val="21"/>
          <w:szCs w:val="21"/>
        </w:rPr>
        <w:t>《</w:t>
      </w:r>
      <w:r>
        <w:rPr>
          <w:rFonts w:hint="eastAsia" w:eastAsia="宋体" w:cs="宋体"/>
          <w:sz w:val="21"/>
          <w:szCs w:val="21"/>
          <w:lang w:eastAsia="zh-CN"/>
        </w:rPr>
        <w:t>温州市市属国有</w:t>
      </w:r>
      <w:r>
        <w:rPr>
          <w:rFonts w:hint="eastAsia" w:ascii="宋体" w:hAnsi="宋体" w:eastAsia="宋体" w:cs="宋体"/>
          <w:sz w:val="21"/>
          <w:szCs w:val="21"/>
        </w:rPr>
        <w:t>企业采购管理办法（试行）》</w:t>
      </w:r>
      <w:r>
        <w:rPr>
          <w:rFonts w:hint="eastAsia" w:ascii="宋体" w:hAnsi="宋体" w:cs="宋体"/>
          <w:bCs/>
          <w:color w:val="auto"/>
          <w:kern w:val="0"/>
          <w:sz w:val="22"/>
          <w:highlight w:val="none"/>
          <w:lang w:eastAsia="zh-CN"/>
        </w:rPr>
        <w:t>对供应商参加国有企业采购活动应当具备的条件</w:t>
      </w:r>
      <w:r>
        <w:rPr>
          <w:rFonts w:hint="eastAsia" w:ascii="宋体" w:hAnsi="宋体" w:cs="宋体"/>
          <w:bCs/>
          <w:color w:val="auto"/>
          <w:kern w:val="0"/>
          <w:sz w:val="22"/>
          <w:highlight w:val="none"/>
        </w:rPr>
        <w:t>的要求；</w:t>
      </w:r>
    </w:p>
    <w:p w14:paraId="62F9ED3D">
      <w:pPr>
        <w:numPr>
          <w:ilvl w:val="0"/>
          <w:numId w:val="1"/>
        </w:numPr>
        <w:tabs>
          <w:tab w:val="left" w:pos="360"/>
        </w:tabs>
        <w:spacing w:line="360" w:lineRule="auto"/>
        <w:ind w:left="0" w:firstLine="440" w:firstLineChars="200"/>
        <w:rPr>
          <w:rFonts w:hint="eastAsia" w:ascii="宋体" w:hAnsi="宋体" w:cs="宋体"/>
          <w:color w:val="auto"/>
          <w:sz w:val="22"/>
          <w:highlight w:val="none"/>
        </w:rPr>
      </w:pPr>
      <w:r>
        <w:rPr>
          <w:rFonts w:hint="eastAsia" w:ascii="宋体" w:hAnsi="宋体" w:cs="宋体"/>
          <w:bCs/>
          <w:color w:val="auto"/>
          <w:kern w:val="0"/>
          <w:sz w:val="22"/>
          <w:highlight w:val="none"/>
        </w:rPr>
        <w:t>未被“信用中国”（www.creditchina.gov.cn）、中国政府采购网（www.ccgp.gov.cn）列入失信被执行人、重大税收违法案件当事人名单、政府采购严重违法失信行为记录名单。</w:t>
      </w:r>
    </w:p>
    <w:p w14:paraId="37A1769C">
      <w:pPr>
        <w:numPr>
          <w:ilvl w:val="0"/>
          <w:numId w:val="1"/>
        </w:numPr>
        <w:tabs>
          <w:tab w:val="left" w:pos="360"/>
        </w:tabs>
        <w:spacing w:line="360" w:lineRule="auto"/>
        <w:ind w:left="0" w:firstLine="440" w:firstLineChars="200"/>
        <w:rPr>
          <w:rFonts w:hint="eastAsia" w:ascii="宋体" w:hAnsi="宋体" w:cs="宋体"/>
          <w:bCs/>
          <w:color w:val="auto"/>
          <w:kern w:val="0"/>
          <w:sz w:val="22"/>
          <w:highlight w:val="none"/>
        </w:rPr>
      </w:pPr>
      <w:r>
        <w:rPr>
          <w:rFonts w:hint="eastAsia" w:ascii="宋体" w:hAnsi="宋体" w:cs="宋体"/>
          <w:bCs/>
          <w:color w:val="auto"/>
          <w:kern w:val="0"/>
          <w:sz w:val="22"/>
          <w:highlight w:val="none"/>
        </w:rPr>
        <w:t>落实采购政策需满足的资格要求：对符合财政扶持政策的小微企业（或监狱企业、或残疾人福利性单位）给予评标价格折扣。供应商企业属于以上多种性质的，不重复享受扶持政策。</w:t>
      </w:r>
    </w:p>
    <w:p w14:paraId="0D4CE3E7">
      <w:pPr>
        <w:numPr>
          <w:ilvl w:val="0"/>
          <w:numId w:val="1"/>
        </w:numPr>
        <w:tabs>
          <w:tab w:val="left" w:pos="360"/>
        </w:tabs>
        <w:spacing w:line="360" w:lineRule="auto"/>
        <w:ind w:left="0" w:firstLine="440" w:firstLineChars="200"/>
        <w:rPr>
          <w:rFonts w:hint="eastAsia" w:ascii="宋体" w:hAnsi="宋体" w:cs="宋体"/>
          <w:bCs/>
          <w:color w:val="auto"/>
          <w:kern w:val="0"/>
          <w:sz w:val="22"/>
          <w:highlight w:val="none"/>
        </w:rPr>
      </w:pPr>
      <w:r>
        <w:rPr>
          <w:rFonts w:hint="eastAsia" w:ascii="宋体" w:hAnsi="宋体" w:cs="宋体"/>
          <w:bCs/>
          <w:color w:val="auto"/>
          <w:kern w:val="0"/>
          <w:sz w:val="22"/>
          <w:highlight w:val="none"/>
        </w:rPr>
        <w:t>本项目不接受联合体投标；</w:t>
      </w:r>
    </w:p>
    <w:p w14:paraId="5B07DF24">
      <w:pPr>
        <w:numPr>
          <w:ilvl w:val="0"/>
          <w:numId w:val="1"/>
        </w:numPr>
        <w:tabs>
          <w:tab w:val="left" w:pos="360"/>
        </w:tabs>
        <w:spacing w:line="360" w:lineRule="auto"/>
        <w:ind w:left="0" w:firstLine="440" w:firstLineChars="200"/>
        <w:rPr>
          <w:rFonts w:hint="eastAsia" w:ascii="宋体" w:hAnsi="宋体" w:cs="宋体"/>
          <w:bCs/>
          <w:color w:val="auto"/>
          <w:kern w:val="0"/>
          <w:sz w:val="22"/>
          <w:highlight w:val="none"/>
        </w:rPr>
      </w:pPr>
      <w:r>
        <w:rPr>
          <w:rFonts w:hint="eastAsia" w:ascii="宋体" w:hAnsi="宋体" w:cs="宋体"/>
          <w:bCs/>
          <w:color w:val="auto"/>
          <w:kern w:val="0"/>
          <w:sz w:val="22"/>
          <w:highlight w:val="none"/>
        </w:rPr>
        <w:t>本项目不允许转包、分包。</w:t>
      </w:r>
    </w:p>
    <w:p w14:paraId="55AADF51">
      <w:pPr>
        <w:numPr>
          <w:ilvl w:val="0"/>
          <w:numId w:val="1"/>
        </w:numPr>
        <w:tabs>
          <w:tab w:val="left" w:pos="360"/>
        </w:tabs>
        <w:spacing w:line="360" w:lineRule="auto"/>
        <w:ind w:left="0" w:firstLine="440" w:firstLineChars="200"/>
        <w:rPr>
          <w:rFonts w:hint="eastAsia" w:ascii="宋体" w:hAnsi="宋体"/>
          <w:bCs/>
          <w:color w:val="auto"/>
          <w:kern w:val="0"/>
          <w:sz w:val="22"/>
          <w:highlight w:val="none"/>
        </w:rPr>
      </w:pPr>
      <w:r>
        <w:rPr>
          <w:rFonts w:hint="eastAsia" w:ascii="宋体" w:hAnsi="宋体"/>
          <w:bCs/>
          <w:color w:val="auto"/>
          <w:kern w:val="0"/>
          <w:sz w:val="22"/>
          <w:highlight w:val="none"/>
        </w:rPr>
        <w:t>法律、行政法规规定的其他条件。</w:t>
      </w:r>
    </w:p>
    <w:p w14:paraId="7C040748">
      <w:pPr>
        <w:tabs>
          <w:tab w:val="left" w:pos="360"/>
        </w:tabs>
        <w:spacing w:line="360" w:lineRule="auto"/>
        <w:rPr>
          <w:rFonts w:hint="eastAsia" w:ascii="宋体" w:hAnsi="宋体" w:eastAsia="宋体"/>
          <w:b/>
          <w:color w:val="auto"/>
          <w:kern w:val="0"/>
          <w:sz w:val="22"/>
          <w:highlight w:val="none"/>
          <w:lang w:eastAsia="zh-CN"/>
        </w:rPr>
      </w:pPr>
      <w:r>
        <w:rPr>
          <w:rFonts w:hint="eastAsia" w:ascii="宋体" w:hAnsi="宋体"/>
          <w:b/>
          <w:color w:val="auto"/>
          <w:kern w:val="0"/>
          <w:sz w:val="22"/>
          <w:highlight w:val="none"/>
        </w:rPr>
        <w:t>三、</w:t>
      </w:r>
      <w:bookmarkEnd w:id="9"/>
      <w:bookmarkEnd w:id="10"/>
      <w:bookmarkEnd w:id="11"/>
      <w:bookmarkEnd w:id="12"/>
      <w:r>
        <w:rPr>
          <w:rFonts w:hint="eastAsia" w:ascii="宋体" w:hAnsi="宋体"/>
          <w:b/>
          <w:color w:val="auto"/>
          <w:kern w:val="0"/>
          <w:sz w:val="22"/>
          <w:highlight w:val="none"/>
          <w:lang w:eastAsia="zh-CN"/>
        </w:rPr>
        <w:t>招标文件获取时间、方式及地址</w:t>
      </w:r>
    </w:p>
    <w:p w14:paraId="66E50B28">
      <w:pPr>
        <w:tabs>
          <w:tab w:val="left" w:pos="360"/>
        </w:tabs>
        <w:spacing w:line="360" w:lineRule="auto"/>
        <w:ind w:firstLine="440" w:firstLineChars="200"/>
        <w:rPr>
          <w:rFonts w:hint="eastAsia" w:ascii="宋体" w:hAnsi="宋体"/>
          <w:b/>
          <w:bCs w:val="0"/>
          <w:color w:val="auto"/>
          <w:kern w:val="0"/>
          <w:sz w:val="22"/>
          <w:highlight w:val="none"/>
        </w:rPr>
      </w:pPr>
      <w:r>
        <w:rPr>
          <w:rFonts w:hint="eastAsia" w:ascii="宋体" w:hAnsi="宋体"/>
          <w:bCs/>
          <w:color w:val="auto"/>
          <w:kern w:val="0"/>
          <w:sz w:val="22"/>
          <w:highlight w:val="none"/>
        </w:rPr>
        <w:t>时间：</w:t>
      </w:r>
      <w:r>
        <w:rPr>
          <w:rFonts w:hint="eastAsia" w:ascii="宋体" w:hAnsi="宋体"/>
          <w:b/>
          <w:bCs w:val="0"/>
          <w:color w:val="auto"/>
          <w:kern w:val="0"/>
          <w:sz w:val="22"/>
          <w:highlight w:val="none"/>
        </w:rPr>
        <w:t>招标公告之日起至</w:t>
      </w:r>
      <w:r>
        <w:rPr>
          <w:rFonts w:hint="eastAsia" w:ascii="宋体" w:hAnsi="宋体"/>
          <w:b/>
          <w:bCs w:val="0"/>
          <w:color w:val="auto"/>
          <w:kern w:val="0"/>
          <w:sz w:val="22"/>
          <w:highlight w:val="none"/>
          <w:lang w:eastAsia="zh-CN"/>
        </w:rPr>
        <w:t>2026年2月6日15:00时</w:t>
      </w:r>
    </w:p>
    <w:p w14:paraId="33A13C60">
      <w:pPr>
        <w:tabs>
          <w:tab w:val="left" w:pos="360"/>
        </w:tabs>
        <w:spacing w:line="360" w:lineRule="auto"/>
        <w:ind w:firstLine="440" w:firstLineChars="200"/>
        <w:rPr>
          <w:rFonts w:hint="eastAsia" w:ascii="宋体" w:hAnsi="宋体"/>
          <w:bCs/>
          <w:color w:val="auto"/>
          <w:kern w:val="0"/>
          <w:sz w:val="22"/>
          <w:highlight w:val="none"/>
        </w:rPr>
      </w:pPr>
      <w:r>
        <w:rPr>
          <w:rFonts w:hint="eastAsia" w:ascii="宋体" w:hAnsi="宋体"/>
          <w:bCs/>
          <w:color w:val="auto"/>
          <w:kern w:val="0"/>
          <w:sz w:val="22"/>
          <w:highlight w:val="none"/>
        </w:rPr>
        <w:t>地点：泰顺县人民政府网</w:t>
      </w:r>
      <w:r>
        <w:rPr>
          <w:rFonts w:hint="eastAsia" w:ascii="宋体" w:hAnsi="宋体"/>
          <w:bCs/>
          <w:color w:val="auto"/>
          <w:kern w:val="0"/>
          <w:sz w:val="22"/>
          <w:highlight w:val="none"/>
          <w:lang w:val="en-US" w:eastAsia="zh-CN"/>
        </w:rPr>
        <w:t>县公共资源交易平台</w:t>
      </w:r>
      <w:r>
        <w:rPr>
          <w:rFonts w:hint="eastAsia" w:ascii="宋体" w:hAnsi="宋体"/>
          <w:bCs/>
          <w:color w:val="auto"/>
          <w:kern w:val="0"/>
          <w:sz w:val="22"/>
          <w:highlight w:val="none"/>
        </w:rPr>
        <w:t>（http://www.ts.gov.cn/col/col1383420/index.html）</w:t>
      </w:r>
    </w:p>
    <w:p w14:paraId="663868F3">
      <w:pPr>
        <w:tabs>
          <w:tab w:val="left" w:pos="360"/>
        </w:tabs>
        <w:spacing w:line="360" w:lineRule="auto"/>
        <w:ind w:firstLine="440" w:firstLineChars="200"/>
        <w:rPr>
          <w:rFonts w:hint="eastAsia" w:ascii="宋体" w:hAnsi="宋体"/>
          <w:bCs/>
          <w:color w:val="auto"/>
          <w:kern w:val="0"/>
          <w:sz w:val="22"/>
          <w:highlight w:val="none"/>
        </w:rPr>
      </w:pPr>
      <w:r>
        <w:rPr>
          <w:rFonts w:hint="eastAsia" w:ascii="宋体" w:hAnsi="宋体"/>
          <w:bCs/>
          <w:color w:val="auto"/>
          <w:kern w:val="0"/>
          <w:sz w:val="22"/>
          <w:highlight w:val="none"/>
        </w:rPr>
        <w:t>方式: 网上下载</w:t>
      </w:r>
    </w:p>
    <w:p w14:paraId="06FBC49F">
      <w:pPr>
        <w:tabs>
          <w:tab w:val="left" w:pos="360"/>
        </w:tabs>
        <w:spacing w:line="360" w:lineRule="auto"/>
        <w:rPr>
          <w:rFonts w:hint="default" w:ascii="宋体" w:hAnsi="宋体" w:eastAsia="宋体"/>
          <w:b/>
          <w:color w:val="auto"/>
          <w:kern w:val="0"/>
          <w:sz w:val="22"/>
          <w:highlight w:val="none"/>
          <w:lang w:val="en-US" w:eastAsia="zh-CN"/>
        </w:rPr>
      </w:pPr>
      <w:bookmarkStart w:id="13" w:name="_Toc35393632"/>
      <w:bookmarkStart w:id="14" w:name="_Toc35393801"/>
      <w:bookmarkStart w:id="15" w:name="_Toc28359092"/>
      <w:bookmarkStart w:id="16" w:name="_Toc28359015"/>
      <w:r>
        <w:rPr>
          <w:rFonts w:hint="eastAsia" w:ascii="宋体" w:hAnsi="宋体"/>
          <w:b/>
          <w:color w:val="auto"/>
          <w:kern w:val="0"/>
          <w:sz w:val="22"/>
          <w:highlight w:val="none"/>
        </w:rPr>
        <w:t>四、</w:t>
      </w:r>
      <w:bookmarkEnd w:id="13"/>
      <w:bookmarkEnd w:id="14"/>
      <w:bookmarkEnd w:id="15"/>
      <w:bookmarkEnd w:id="16"/>
      <w:r>
        <w:rPr>
          <w:rFonts w:hint="eastAsia" w:ascii="宋体" w:hAnsi="宋体"/>
          <w:b/>
          <w:color w:val="auto"/>
          <w:kern w:val="0"/>
          <w:sz w:val="22"/>
          <w:highlight w:val="none"/>
        </w:rPr>
        <w:t>投标文件递交</w:t>
      </w:r>
      <w:r>
        <w:rPr>
          <w:rFonts w:hint="eastAsia" w:ascii="宋体" w:hAnsi="宋体"/>
          <w:b/>
          <w:color w:val="auto"/>
          <w:kern w:val="0"/>
          <w:sz w:val="22"/>
          <w:highlight w:val="none"/>
          <w:lang w:val="en-US" w:eastAsia="zh-CN"/>
        </w:rPr>
        <w:t>截止时间和递交方式</w:t>
      </w:r>
    </w:p>
    <w:p w14:paraId="7D1517FB">
      <w:pPr>
        <w:tabs>
          <w:tab w:val="left" w:pos="360"/>
        </w:tabs>
        <w:spacing w:line="360" w:lineRule="auto"/>
        <w:ind w:firstLine="440" w:firstLineChars="200"/>
        <w:rPr>
          <w:rFonts w:hint="eastAsia" w:ascii="宋体" w:hAnsi="宋体"/>
          <w:b/>
          <w:bCs w:val="0"/>
          <w:color w:val="auto"/>
          <w:kern w:val="0"/>
          <w:sz w:val="22"/>
          <w:highlight w:val="none"/>
        </w:rPr>
      </w:pPr>
      <w:r>
        <w:rPr>
          <w:rFonts w:hint="eastAsia" w:ascii="宋体" w:hAnsi="宋体"/>
          <w:bCs/>
          <w:color w:val="auto"/>
          <w:kern w:val="0"/>
          <w:sz w:val="22"/>
          <w:highlight w:val="none"/>
        </w:rPr>
        <w:t>递交投标文件截止时间：</w:t>
      </w:r>
      <w:r>
        <w:rPr>
          <w:rFonts w:hint="eastAsia" w:ascii="宋体" w:hAnsi="宋体"/>
          <w:b/>
          <w:bCs w:val="0"/>
          <w:color w:val="auto"/>
          <w:kern w:val="0"/>
          <w:sz w:val="22"/>
          <w:highlight w:val="none"/>
          <w:lang w:eastAsia="zh-CN"/>
        </w:rPr>
        <w:t>2026年2月6日15:00时</w:t>
      </w:r>
      <w:r>
        <w:rPr>
          <w:rFonts w:hint="eastAsia" w:ascii="宋体" w:hAnsi="宋体"/>
          <w:b/>
          <w:bCs w:val="0"/>
          <w:color w:val="auto"/>
          <w:kern w:val="0"/>
          <w:sz w:val="22"/>
          <w:highlight w:val="none"/>
        </w:rPr>
        <w:t>（北京时间） </w:t>
      </w:r>
      <w:bookmarkStart w:id="17" w:name="_Toc35393803"/>
      <w:bookmarkStart w:id="18" w:name="_Toc28359094"/>
      <w:bookmarkStart w:id="19" w:name="_Toc28359017"/>
      <w:bookmarkStart w:id="20" w:name="_Toc35393634"/>
    </w:p>
    <w:p w14:paraId="6A1A838A">
      <w:pPr>
        <w:tabs>
          <w:tab w:val="left" w:pos="360"/>
        </w:tabs>
        <w:spacing w:line="360" w:lineRule="auto"/>
        <w:ind w:firstLine="442" w:firstLineChars="200"/>
        <w:rPr>
          <w:rFonts w:hint="eastAsia" w:hAnsi="宋体"/>
          <w:b/>
          <w:bCs/>
          <w:color w:val="auto"/>
          <w:sz w:val="22"/>
          <w:szCs w:val="22"/>
          <w:highlight w:val="none"/>
        </w:rPr>
      </w:pPr>
      <w:r>
        <w:rPr>
          <w:rFonts w:hint="eastAsia" w:hAnsi="宋体"/>
          <w:b/>
          <w:bCs/>
          <w:color w:val="auto"/>
          <w:sz w:val="22"/>
          <w:szCs w:val="22"/>
          <w:highlight w:val="none"/>
        </w:rPr>
        <w:t>投标人采用邮寄</w:t>
      </w:r>
      <w:r>
        <w:rPr>
          <w:rFonts w:hint="eastAsia" w:hAnsi="宋体"/>
          <w:b/>
          <w:bCs/>
          <w:color w:val="auto"/>
          <w:sz w:val="22"/>
          <w:szCs w:val="22"/>
          <w:highlight w:val="none"/>
          <w:lang w:val="en-US" w:eastAsia="zh-CN"/>
        </w:rPr>
        <w:t>或现场递交</w:t>
      </w:r>
      <w:r>
        <w:rPr>
          <w:rFonts w:hint="eastAsia" w:hAnsi="宋体"/>
          <w:b/>
          <w:bCs/>
          <w:color w:val="auto"/>
          <w:sz w:val="22"/>
          <w:szCs w:val="22"/>
          <w:highlight w:val="none"/>
        </w:rPr>
        <w:t>的方式递交投标文件。邮寄时须备注项目名称及当面签收确认，否则由此产生的投标文件遗失以及投标文件破损而导致投标无效的风险由投标人自行承担。</w:t>
      </w:r>
    </w:p>
    <w:p w14:paraId="2FDDD4E6">
      <w:pPr>
        <w:pStyle w:val="106"/>
        <w:tabs>
          <w:tab w:val="left" w:pos="1313"/>
        </w:tabs>
        <w:adjustRightInd w:val="0"/>
        <w:snapToGrid w:val="0"/>
        <w:spacing w:line="360" w:lineRule="exact"/>
        <w:ind w:firstLine="435" w:firstLineChars="197"/>
        <w:rPr>
          <w:rFonts w:hint="eastAsia" w:hAnsi="宋体"/>
          <w:b/>
          <w:bCs/>
          <w:color w:val="auto"/>
          <w:sz w:val="22"/>
          <w:szCs w:val="22"/>
          <w:highlight w:val="none"/>
        </w:rPr>
      </w:pPr>
      <w:r>
        <w:rPr>
          <w:rFonts w:hint="eastAsia" w:hAnsi="宋体"/>
          <w:b/>
          <w:bCs/>
          <w:color w:val="auto"/>
          <w:sz w:val="22"/>
          <w:szCs w:val="22"/>
          <w:highlight w:val="none"/>
        </w:rPr>
        <w:t>邮寄地址：</w:t>
      </w:r>
      <w:r>
        <w:rPr>
          <w:rFonts w:hint="eastAsia" w:hAnsi="宋体"/>
          <w:b/>
          <w:bCs/>
          <w:color w:val="auto"/>
          <w:sz w:val="22"/>
          <w:szCs w:val="22"/>
          <w:highlight w:val="none"/>
          <w:lang w:eastAsia="zh-CN"/>
        </w:rPr>
        <w:t>泰顺县文祥大道新城旧村改造安置点18号楼1-4号3楼</w:t>
      </w:r>
      <w:r>
        <w:rPr>
          <w:rFonts w:hint="eastAsia" w:hAnsi="宋体"/>
          <w:b/>
          <w:bCs/>
          <w:color w:val="auto"/>
          <w:sz w:val="22"/>
          <w:szCs w:val="22"/>
          <w:highlight w:val="none"/>
        </w:rPr>
        <w:t>（拒绝到付）</w:t>
      </w:r>
    </w:p>
    <w:p w14:paraId="4749C4AC">
      <w:pPr>
        <w:pStyle w:val="106"/>
        <w:tabs>
          <w:tab w:val="left" w:pos="1313"/>
        </w:tabs>
        <w:adjustRightInd w:val="0"/>
        <w:snapToGrid w:val="0"/>
        <w:spacing w:line="360" w:lineRule="exact"/>
        <w:ind w:firstLine="435" w:firstLineChars="197"/>
        <w:rPr>
          <w:rFonts w:hint="eastAsia" w:hAnsi="宋体"/>
          <w:b/>
          <w:bCs/>
          <w:color w:val="auto"/>
          <w:sz w:val="22"/>
          <w:szCs w:val="22"/>
          <w:highlight w:val="none"/>
        </w:rPr>
      </w:pPr>
      <w:r>
        <w:rPr>
          <w:rFonts w:hint="eastAsia" w:hAnsi="宋体"/>
          <w:b/>
          <w:bCs/>
          <w:color w:val="auto"/>
          <w:sz w:val="22"/>
          <w:szCs w:val="22"/>
          <w:highlight w:val="none"/>
        </w:rPr>
        <w:t>联系人：</w:t>
      </w:r>
      <w:r>
        <w:rPr>
          <w:rFonts w:hint="eastAsia" w:hAnsi="宋体"/>
          <w:b/>
          <w:bCs/>
          <w:color w:val="auto"/>
          <w:sz w:val="22"/>
          <w:szCs w:val="22"/>
          <w:highlight w:val="none"/>
          <w:lang w:val="en-US" w:eastAsia="zh-CN"/>
        </w:rPr>
        <w:t xml:space="preserve">朱先生        </w:t>
      </w:r>
      <w:r>
        <w:rPr>
          <w:rFonts w:hint="eastAsia" w:hAnsi="宋体"/>
          <w:b/>
          <w:bCs/>
          <w:color w:val="auto"/>
          <w:sz w:val="22"/>
          <w:szCs w:val="22"/>
          <w:highlight w:val="none"/>
        </w:rPr>
        <w:t>联系电话：</w:t>
      </w:r>
      <w:r>
        <w:rPr>
          <w:rFonts w:hint="eastAsia" w:hAnsi="宋体"/>
          <w:b/>
          <w:bCs/>
          <w:color w:val="auto"/>
          <w:sz w:val="22"/>
          <w:szCs w:val="22"/>
          <w:highlight w:val="none"/>
          <w:lang w:val="en-US" w:eastAsia="zh-CN"/>
        </w:rPr>
        <w:t>15988737601</w:t>
      </w:r>
    </w:p>
    <w:p w14:paraId="4B570225">
      <w:pPr>
        <w:pStyle w:val="106"/>
        <w:tabs>
          <w:tab w:val="left" w:pos="1313"/>
        </w:tabs>
        <w:adjustRightInd w:val="0"/>
        <w:snapToGrid w:val="0"/>
        <w:spacing w:line="360" w:lineRule="exact"/>
        <w:ind w:firstLine="435" w:firstLineChars="197"/>
        <w:rPr>
          <w:rFonts w:hint="eastAsia" w:hAnsi="宋体"/>
          <w:b/>
          <w:bCs/>
          <w:color w:val="auto"/>
          <w:sz w:val="22"/>
          <w:szCs w:val="22"/>
          <w:highlight w:val="none"/>
        </w:rPr>
      </w:pPr>
      <w:r>
        <w:rPr>
          <w:rFonts w:hint="eastAsia" w:hAnsi="宋体"/>
          <w:b/>
          <w:bCs/>
          <w:color w:val="auto"/>
          <w:sz w:val="22"/>
          <w:szCs w:val="22"/>
          <w:highlight w:val="none"/>
        </w:rPr>
        <w:t>邮寄</w:t>
      </w:r>
      <w:r>
        <w:rPr>
          <w:rFonts w:hint="eastAsia" w:hAnsi="宋体"/>
          <w:b/>
          <w:bCs/>
          <w:color w:val="auto"/>
          <w:sz w:val="22"/>
          <w:szCs w:val="22"/>
          <w:highlight w:val="none"/>
          <w:lang w:eastAsia="zh-CN"/>
        </w:rPr>
        <w:t>（</w:t>
      </w:r>
      <w:r>
        <w:rPr>
          <w:rFonts w:hint="eastAsia" w:hAnsi="宋体"/>
          <w:b/>
          <w:bCs/>
          <w:color w:val="auto"/>
          <w:sz w:val="22"/>
          <w:szCs w:val="22"/>
          <w:highlight w:val="none"/>
          <w:lang w:val="en-US" w:eastAsia="zh-CN"/>
        </w:rPr>
        <w:t>送达</w:t>
      </w:r>
      <w:r>
        <w:rPr>
          <w:rFonts w:hint="eastAsia" w:hAnsi="宋体"/>
          <w:b/>
          <w:bCs/>
          <w:color w:val="auto"/>
          <w:sz w:val="22"/>
          <w:szCs w:val="22"/>
          <w:highlight w:val="none"/>
          <w:lang w:eastAsia="zh-CN"/>
        </w:rPr>
        <w:t>）</w:t>
      </w:r>
      <w:r>
        <w:rPr>
          <w:rFonts w:hint="eastAsia" w:hAnsi="宋体"/>
          <w:b/>
          <w:bCs/>
          <w:color w:val="auto"/>
          <w:sz w:val="22"/>
          <w:szCs w:val="22"/>
          <w:highlight w:val="none"/>
        </w:rPr>
        <w:t>截止时间为：</w:t>
      </w:r>
      <w:r>
        <w:rPr>
          <w:rFonts w:hint="eastAsia" w:hAnsi="宋体"/>
          <w:b/>
          <w:bCs w:val="0"/>
          <w:color w:val="auto"/>
          <w:kern w:val="0"/>
          <w:sz w:val="22"/>
          <w:highlight w:val="none"/>
          <w:lang w:eastAsia="zh-CN"/>
        </w:rPr>
        <w:t>2026年2月6日15:00时</w:t>
      </w:r>
      <w:r>
        <w:rPr>
          <w:rFonts w:hint="eastAsia" w:hAnsi="宋体"/>
          <w:b/>
          <w:bCs/>
          <w:color w:val="auto"/>
          <w:sz w:val="22"/>
          <w:szCs w:val="22"/>
          <w:highlight w:val="none"/>
        </w:rPr>
        <w:t>(北京时间)前；投标人须确保投标文件在邮寄</w:t>
      </w:r>
      <w:r>
        <w:rPr>
          <w:rFonts w:hint="eastAsia" w:hAnsi="宋体"/>
          <w:b/>
          <w:bCs/>
          <w:color w:val="auto"/>
          <w:sz w:val="22"/>
          <w:szCs w:val="22"/>
          <w:highlight w:val="none"/>
          <w:lang w:eastAsia="zh-CN"/>
        </w:rPr>
        <w:t>（</w:t>
      </w:r>
      <w:r>
        <w:rPr>
          <w:rFonts w:hint="eastAsia" w:hAnsi="宋体"/>
          <w:b/>
          <w:bCs/>
          <w:color w:val="auto"/>
          <w:sz w:val="22"/>
          <w:szCs w:val="22"/>
          <w:highlight w:val="none"/>
          <w:lang w:val="en-US" w:eastAsia="zh-CN"/>
        </w:rPr>
        <w:t>送达</w:t>
      </w:r>
      <w:r>
        <w:rPr>
          <w:rFonts w:hint="eastAsia" w:hAnsi="宋体"/>
          <w:b/>
          <w:bCs/>
          <w:color w:val="auto"/>
          <w:sz w:val="22"/>
          <w:szCs w:val="22"/>
          <w:highlight w:val="none"/>
          <w:lang w:eastAsia="zh-CN"/>
        </w:rPr>
        <w:t>）</w:t>
      </w:r>
      <w:r>
        <w:rPr>
          <w:rFonts w:hint="eastAsia" w:hAnsi="宋体"/>
          <w:b/>
          <w:bCs/>
          <w:color w:val="auto"/>
          <w:sz w:val="22"/>
          <w:szCs w:val="22"/>
          <w:highlight w:val="none"/>
        </w:rPr>
        <w:t>截止时间前将投标文件寄到邮寄地址，否则导致投标文件不能接受而产生投标无效的后果须由投标人自行承担。</w:t>
      </w:r>
    </w:p>
    <w:p w14:paraId="53A8EA77">
      <w:pPr>
        <w:pStyle w:val="106"/>
        <w:tabs>
          <w:tab w:val="left" w:pos="1313"/>
        </w:tabs>
        <w:adjustRightInd w:val="0"/>
        <w:snapToGrid w:val="0"/>
        <w:spacing w:line="360" w:lineRule="exact"/>
        <w:ind w:firstLine="435" w:firstLineChars="197"/>
        <w:rPr>
          <w:rFonts w:hint="eastAsia" w:hAnsi="宋体"/>
          <w:b/>
          <w:bCs/>
          <w:color w:val="auto"/>
          <w:sz w:val="22"/>
          <w:szCs w:val="22"/>
          <w:highlight w:val="none"/>
        </w:rPr>
      </w:pPr>
      <w:r>
        <w:rPr>
          <w:rFonts w:hint="eastAsia" w:hAnsi="宋体"/>
          <w:b/>
          <w:bCs/>
          <w:color w:val="auto"/>
          <w:sz w:val="22"/>
          <w:szCs w:val="22"/>
          <w:highlight w:val="none"/>
        </w:rPr>
        <w:t>投标文件邮寄外包装不得出现供应商名称等信息。</w:t>
      </w:r>
    </w:p>
    <w:p w14:paraId="04B27A23">
      <w:pPr>
        <w:pStyle w:val="106"/>
        <w:tabs>
          <w:tab w:val="left" w:pos="1313"/>
        </w:tabs>
        <w:adjustRightInd w:val="0"/>
        <w:snapToGrid w:val="0"/>
        <w:spacing w:line="360" w:lineRule="exact"/>
        <w:ind w:firstLine="435" w:firstLineChars="197"/>
        <w:rPr>
          <w:rFonts w:hint="eastAsia" w:hAnsi="宋体"/>
          <w:b/>
          <w:bCs/>
          <w:color w:val="auto"/>
          <w:sz w:val="22"/>
          <w:szCs w:val="22"/>
          <w:highlight w:val="none"/>
        </w:rPr>
      </w:pPr>
      <w:r>
        <w:rPr>
          <w:rFonts w:hint="eastAsia" w:hAnsi="宋体"/>
          <w:b/>
          <w:bCs/>
          <w:color w:val="auto"/>
          <w:sz w:val="22"/>
          <w:szCs w:val="22"/>
          <w:highlight w:val="none"/>
        </w:rPr>
        <w:t>请各投标人在投标文件中注明本项目的主要联系人、联系电话及电子邮箱。开标采用钉钉直播方式，供应商扫描招标文件附件二维码进群，观看开标情况。</w:t>
      </w:r>
    </w:p>
    <w:p w14:paraId="5714A21B">
      <w:pPr>
        <w:tabs>
          <w:tab w:val="left" w:pos="360"/>
        </w:tabs>
        <w:spacing w:line="360" w:lineRule="auto"/>
        <w:rPr>
          <w:rFonts w:hint="default" w:ascii="宋体" w:hAnsi="宋体" w:eastAsia="宋体"/>
          <w:b/>
          <w:color w:val="auto"/>
          <w:kern w:val="0"/>
          <w:sz w:val="22"/>
          <w:highlight w:val="none"/>
          <w:lang w:val="en-US" w:eastAsia="zh-CN"/>
        </w:rPr>
      </w:pPr>
      <w:r>
        <w:rPr>
          <w:rFonts w:hint="eastAsia" w:ascii="宋体" w:hAnsi="宋体"/>
          <w:b/>
          <w:color w:val="auto"/>
          <w:kern w:val="0"/>
          <w:sz w:val="22"/>
          <w:highlight w:val="none"/>
        </w:rPr>
        <w:t>五、开</w:t>
      </w:r>
      <w:r>
        <w:rPr>
          <w:rFonts w:hint="eastAsia" w:ascii="宋体" w:hAnsi="宋体"/>
          <w:b/>
          <w:color w:val="auto"/>
          <w:kern w:val="0"/>
          <w:sz w:val="22"/>
          <w:highlight w:val="none"/>
          <w:lang w:val="en-US" w:eastAsia="zh-CN"/>
        </w:rPr>
        <w:t>标时间和地点</w:t>
      </w:r>
    </w:p>
    <w:p w14:paraId="1F9E9239">
      <w:pPr>
        <w:tabs>
          <w:tab w:val="left" w:pos="360"/>
        </w:tabs>
        <w:spacing w:line="360" w:lineRule="auto"/>
        <w:ind w:firstLine="440" w:firstLineChars="200"/>
        <w:rPr>
          <w:rFonts w:hint="eastAsia" w:ascii="宋体" w:hAnsi="宋体"/>
          <w:bCs/>
          <w:color w:val="auto"/>
          <w:kern w:val="0"/>
          <w:sz w:val="22"/>
          <w:highlight w:val="none"/>
        </w:rPr>
      </w:pPr>
      <w:r>
        <w:rPr>
          <w:rFonts w:hint="eastAsia" w:ascii="宋体" w:hAnsi="宋体"/>
          <w:bCs/>
          <w:color w:val="auto"/>
          <w:kern w:val="0"/>
          <w:sz w:val="22"/>
          <w:highlight w:val="none"/>
        </w:rPr>
        <w:t>时间：</w:t>
      </w:r>
      <w:r>
        <w:rPr>
          <w:rFonts w:hint="eastAsia" w:ascii="宋体" w:hAnsi="宋体"/>
          <w:bCs/>
          <w:color w:val="auto"/>
          <w:kern w:val="0"/>
          <w:sz w:val="22"/>
          <w:highlight w:val="none"/>
          <w:lang w:eastAsia="zh-CN"/>
        </w:rPr>
        <w:t>2026年2月6日15:00时</w:t>
      </w:r>
      <w:r>
        <w:rPr>
          <w:rFonts w:hint="eastAsia" w:ascii="宋体" w:hAnsi="宋体"/>
          <w:bCs/>
          <w:color w:val="auto"/>
          <w:kern w:val="0"/>
          <w:sz w:val="22"/>
          <w:highlight w:val="none"/>
        </w:rPr>
        <w:t>（北京时间）</w:t>
      </w:r>
    </w:p>
    <w:p w14:paraId="7271AABD">
      <w:pPr>
        <w:tabs>
          <w:tab w:val="left" w:pos="360"/>
        </w:tabs>
        <w:spacing w:line="360" w:lineRule="auto"/>
        <w:rPr>
          <w:rFonts w:hint="eastAsia" w:ascii="宋体" w:hAnsi="宋体" w:eastAsia="宋体"/>
          <w:bCs/>
          <w:color w:val="auto"/>
          <w:kern w:val="0"/>
          <w:sz w:val="22"/>
          <w:highlight w:val="none"/>
          <w:lang w:eastAsia="zh-CN"/>
        </w:rPr>
      </w:pPr>
      <w:r>
        <w:rPr>
          <w:rFonts w:hint="eastAsia" w:ascii="宋体" w:hAnsi="宋体"/>
          <w:bCs/>
          <w:color w:val="auto"/>
          <w:kern w:val="0"/>
          <w:sz w:val="22"/>
          <w:highlight w:val="none"/>
        </w:rPr>
        <w:tab/>
      </w:r>
      <w:r>
        <w:rPr>
          <w:rFonts w:hint="eastAsia" w:ascii="宋体" w:hAnsi="宋体"/>
          <w:bCs/>
          <w:color w:val="auto"/>
          <w:kern w:val="0"/>
          <w:sz w:val="22"/>
          <w:highlight w:val="none"/>
        </w:rPr>
        <w:t xml:space="preserve"> 开标地点：</w:t>
      </w:r>
      <w:r>
        <w:rPr>
          <w:rFonts w:hint="eastAsia" w:ascii="宋体" w:hAnsi="宋体"/>
          <w:bCs/>
          <w:color w:val="auto"/>
          <w:kern w:val="0"/>
          <w:sz w:val="22"/>
          <w:highlight w:val="none"/>
          <w:lang w:eastAsia="zh-CN"/>
        </w:rPr>
        <w:t>泰顺县罗阳镇新城大道123号公共资源交易中心五楼开标室</w:t>
      </w:r>
    </w:p>
    <w:p w14:paraId="50216B20">
      <w:pPr>
        <w:tabs>
          <w:tab w:val="left" w:pos="360"/>
        </w:tabs>
        <w:spacing w:line="360" w:lineRule="auto"/>
        <w:rPr>
          <w:rFonts w:hint="eastAsia" w:ascii="宋体" w:hAnsi="宋体"/>
          <w:b/>
          <w:color w:val="auto"/>
          <w:kern w:val="0"/>
          <w:sz w:val="22"/>
          <w:highlight w:val="none"/>
        </w:rPr>
      </w:pPr>
      <w:r>
        <w:rPr>
          <w:rFonts w:hint="eastAsia" w:ascii="宋体" w:hAnsi="宋体"/>
          <w:b/>
          <w:color w:val="auto"/>
          <w:kern w:val="0"/>
          <w:sz w:val="22"/>
          <w:highlight w:val="none"/>
        </w:rPr>
        <w:t>六、公告期限</w:t>
      </w:r>
    </w:p>
    <w:p w14:paraId="5F441457">
      <w:pPr>
        <w:tabs>
          <w:tab w:val="left" w:pos="360"/>
        </w:tabs>
        <w:spacing w:line="360" w:lineRule="auto"/>
        <w:ind w:firstLine="440" w:firstLineChars="200"/>
        <w:rPr>
          <w:rFonts w:hint="eastAsia" w:ascii="宋体" w:hAnsi="宋体"/>
          <w:bCs/>
          <w:color w:val="auto"/>
          <w:kern w:val="0"/>
          <w:sz w:val="22"/>
          <w:highlight w:val="none"/>
        </w:rPr>
      </w:pPr>
      <w:r>
        <w:rPr>
          <w:rFonts w:hint="eastAsia" w:ascii="宋体" w:hAnsi="宋体"/>
          <w:bCs/>
          <w:color w:val="auto"/>
          <w:kern w:val="0"/>
          <w:sz w:val="22"/>
          <w:highlight w:val="none"/>
        </w:rPr>
        <w:t>自本公告发布之日起5个工作日</w:t>
      </w:r>
    </w:p>
    <w:p w14:paraId="6F2362BC">
      <w:pPr>
        <w:tabs>
          <w:tab w:val="left" w:pos="360"/>
        </w:tabs>
        <w:spacing w:line="360" w:lineRule="auto"/>
        <w:rPr>
          <w:rFonts w:hint="eastAsia" w:ascii="宋体" w:hAnsi="宋体"/>
          <w:b/>
          <w:color w:val="auto"/>
          <w:kern w:val="0"/>
          <w:sz w:val="22"/>
          <w:highlight w:val="none"/>
        </w:rPr>
      </w:pPr>
      <w:r>
        <w:rPr>
          <w:rFonts w:hint="eastAsia" w:ascii="宋体" w:hAnsi="宋体"/>
          <w:b/>
          <w:color w:val="auto"/>
          <w:kern w:val="0"/>
          <w:sz w:val="22"/>
          <w:highlight w:val="none"/>
        </w:rPr>
        <w:t>七、</w:t>
      </w:r>
      <w:bookmarkEnd w:id="17"/>
      <w:bookmarkEnd w:id="18"/>
      <w:bookmarkEnd w:id="19"/>
      <w:bookmarkEnd w:id="20"/>
      <w:bookmarkStart w:id="21" w:name="_Toc35393635"/>
      <w:bookmarkStart w:id="22" w:name="_Toc35393804"/>
      <w:r>
        <w:rPr>
          <w:rFonts w:hint="eastAsia" w:ascii="宋体" w:hAnsi="宋体"/>
          <w:b/>
          <w:color w:val="auto"/>
          <w:kern w:val="0"/>
          <w:sz w:val="22"/>
          <w:highlight w:val="none"/>
        </w:rPr>
        <w:t>其他补充事宜</w:t>
      </w:r>
      <w:bookmarkEnd w:id="21"/>
      <w:bookmarkEnd w:id="22"/>
    </w:p>
    <w:p w14:paraId="26144382">
      <w:pPr>
        <w:tabs>
          <w:tab w:val="left" w:pos="360"/>
        </w:tabs>
        <w:spacing w:line="360" w:lineRule="auto"/>
        <w:ind w:firstLine="440" w:firstLineChars="200"/>
        <w:rPr>
          <w:rFonts w:hint="eastAsia" w:ascii="宋体" w:hAnsi="宋体"/>
          <w:bCs/>
          <w:color w:val="auto"/>
          <w:kern w:val="0"/>
          <w:sz w:val="22"/>
          <w:highlight w:val="none"/>
        </w:rPr>
      </w:pPr>
      <w:r>
        <w:rPr>
          <w:rFonts w:hint="eastAsia" w:ascii="宋体" w:hAnsi="宋体"/>
          <w:bCs/>
          <w:color w:val="auto"/>
          <w:kern w:val="0"/>
          <w:sz w:val="22"/>
          <w:highlight w:val="none"/>
        </w:rPr>
        <w:t>1、招标文件提供期限时间之后有潜在供应商提出要求获取招标文件的，将允许其获取，但该供应商如对招标文件有异议的，应于自招标文件提供期限满之日起七个工作日内以书面形式向采购机构提出。</w:t>
      </w:r>
    </w:p>
    <w:p w14:paraId="09ED4BE0">
      <w:pPr>
        <w:tabs>
          <w:tab w:val="left" w:pos="360"/>
        </w:tabs>
        <w:spacing w:line="360" w:lineRule="auto"/>
        <w:ind w:firstLine="440" w:firstLineChars="200"/>
        <w:rPr>
          <w:rFonts w:hint="eastAsia" w:ascii="宋体" w:hAnsi="宋体"/>
          <w:bCs/>
          <w:color w:val="auto"/>
          <w:kern w:val="0"/>
          <w:sz w:val="22"/>
          <w:highlight w:val="none"/>
        </w:rPr>
      </w:pPr>
      <w:r>
        <w:rPr>
          <w:rFonts w:hint="eastAsia" w:ascii="宋体" w:hAnsi="宋体"/>
          <w:bCs/>
          <w:color w:val="auto"/>
          <w:kern w:val="0"/>
          <w:sz w:val="22"/>
          <w:highlight w:val="none"/>
        </w:rPr>
        <w:t>2、投标人认为采购文件使自己的权益受到损害的，可以自采购公告期限届满之日起7个工作日内，以书面形式向采购人和采购代理机构提出质疑。质疑供应商认为国有企业答疑回复处理结果不合法的或者采购人、采购代理机构未在7个工作日内(质疑文件原件签收之日起算)作出答复的，可以在答复期满后15个工作日内以采购人或代理机构为对象依法向人民法院提起诉讼。</w:t>
      </w:r>
    </w:p>
    <w:p w14:paraId="50B90239">
      <w:pPr>
        <w:tabs>
          <w:tab w:val="left" w:pos="360"/>
        </w:tabs>
        <w:spacing w:line="360" w:lineRule="auto"/>
        <w:ind w:firstLine="440" w:firstLineChars="200"/>
        <w:rPr>
          <w:rFonts w:hint="eastAsia" w:ascii="宋体" w:hAnsi="宋体"/>
          <w:bCs/>
          <w:color w:val="auto"/>
          <w:kern w:val="0"/>
          <w:sz w:val="22"/>
          <w:highlight w:val="none"/>
        </w:rPr>
      </w:pPr>
      <w:r>
        <w:rPr>
          <w:rFonts w:hint="eastAsia" w:ascii="宋体" w:hAnsi="宋体"/>
          <w:bCs/>
          <w:color w:val="auto"/>
          <w:kern w:val="0"/>
          <w:sz w:val="22"/>
          <w:highlight w:val="none"/>
        </w:rPr>
        <w:t>3、供应商质疑应当有明确的请求和必要的证明材料；</w:t>
      </w:r>
    </w:p>
    <w:p w14:paraId="5A8A457E">
      <w:pPr>
        <w:tabs>
          <w:tab w:val="left" w:pos="360"/>
        </w:tabs>
        <w:spacing w:line="360" w:lineRule="auto"/>
        <w:ind w:firstLine="440" w:firstLineChars="200"/>
        <w:rPr>
          <w:rFonts w:hint="eastAsia" w:ascii="宋体" w:hAnsi="宋体"/>
          <w:bCs/>
          <w:color w:val="auto"/>
          <w:kern w:val="0"/>
          <w:sz w:val="22"/>
          <w:highlight w:val="none"/>
        </w:rPr>
      </w:pPr>
      <w:r>
        <w:rPr>
          <w:rFonts w:hint="eastAsia" w:ascii="宋体" w:hAnsi="宋体"/>
          <w:bCs/>
          <w:color w:val="auto"/>
          <w:kern w:val="0"/>
          <w:sz w:val="22"/>
          <w:highlight w:val="none"/>
        </w:rPr>
        <w:t>4、逾期的质疑，采购人及采购机构可不予接受。</w:t>
      </w:r>
    </w:p>
    <w:p w14:paraId="3CE40963">
      <w:pPr>
        <w:tabs>
          <w:tab w:val="left" w:pos="360"/>
        </w:tabs>
        <w:spacing w:line="360" w:lineRule="auto"/>
        <w:rPr>
          <w:rFonts w:hint="eastAsia" w:ascii="宋体" w:hAnsi="宋体"/>
          <w:b/>
          <w:color w:val="auto"/>
          <w:kern w:val="0"/>
          <w:sz w:val="22"/>
          <w:highlight w:val="none"/>
        </w:rPr>
      </w:pPr>
      <w:bookmarkStart w:id="23" w:name="_Toc35393805"/>
      <w:bookmarkStart w:id="24" w:name="_Toc28359095"/>
      <w:bookmarkStart w:id="25" w:name="_Toc28359018"/>
      <w:bookmarkStart w:id="26" w:name="_Toc35393636"/>
      <w:r>
        <w:rPr>
          <w:rFonts w:hint="eastAsia" w:ascii="宋体" w:hAnsi="宋体"/>
          <w:b/>
          <w:color w:val="auto"/>
          <w:kern w:val="0"/>
          <w:sz w:val="22"/>
          <w:highlight w:val="none"/>
        </w:rPr>
        <w:t>八、凡对本次采购提出询问，请按以下方式联系。</w:t>
      </w:r>
      <w:bookmarkEnd w:id="23"/>
      <w:bookmarkEnd w:id="24"/>
      <w:bookmarkEnd w:id="25"/>
      <w:bookmarkEnd w:id="26"/>
    </w:p>
    <w:p w14:paraId="0415EF42">
      <w:pPr>
        <w:tabs>
          <w:tab w:val="left" w:pos="360"/>
        </w:tabs>
        <w:spacing w:line="360" w:lineRule="auto"/>
        <w:ind w:firstLine="440" w:firstLineChars="200"/>
        <w:rPr>
          <w:rFonts w:hint="eastAsia" w:ascii="宋体" w:hAnsi="宋体" w:eastAsia="宋体"/>
          <w:bCs/>
          <w:color w:val="auto"/>
          <w:kern w:val="0"/>
          <w:sz w:val="22"/>
          <w:highlight w:val="none"/>
          <w:lang w:eastAsia="zh-CN"/>
        </w:rPr>
      </w:pPr>
      <w:r>
        <w:rPr>
          <w:rFonts w:hint="eastAsia" w:ascii="宋体" w:hAnsi="宋体"/>
          <w:bCs/>
          <w:color w:val="auto"/>
          <w:kern w:val="0"/>
          <w:sz w:val="22"/>
          <w:highlight w:val="none"/>
        </w:rPr>
        <w:t>1、采购单位：</w:t>
      </w:r>
      <w:r>
        <w:rPr>
          <w:rFonts w:hint="eastAsia" w:ascii="宋体" w:hAnsi="宋体"/>
          <w:bCs/>
          <w:color w:val="auto"/>
          <w:kern w:val="0"/>
          <w:sz w:val="22"/>
          <w:highlight w:val="none"/>
          <w:lang w:eastAsia="zh-CN"/>
        </w:rPr>
        <w:t>温州公用事业发展集团泰顺水务有限公司</w:t>
      </w:r>
    </w:p>
    <w:p w14:paraId="3135496E">
      <w:pPr>
        <w:tabs>
          <w:tab w:val="left" w:pos="360"/>
        </w:tabs>
        <w:spacing w:line="360" w:lineRule="auto"/>
        <w:ind w:firstLine="440" w:firstLineChars="200"/>
        <w:rPr>
          <w:rFonts w:hint="eastAsia" w:ascii="宋体" w:hAnsi="宋体" w:eastAsia="宋体"/>
          <w:bCs/>
          <w:color w:val="auto"/>
          <w:kern w:val="0"/>
          <w:sz w:val="22"/>
          <w:highlight w:val="none"/>
          <w:lang w:eastAsia="zh-CN"/>
        </w:rPr>
      </w:pPr>
      <w:r>
        <w:rPr>
          <w:rFonts w:hint="eastAsia" w:ascii="宋体" w:hAnsi="宋体"/>
          <w:bCs/>
          <w:color w:val="auto"/>
          <w:kern w:val="0"/>
          <w:sz w:val="22"/>
          <w:highlight w:val="none"/>
        </w:rPr>
        <w:t>项目经办人：</w:t>
      </w:r>
      <w:r>
        <w:rPr>
          <w:rFonts w:hint="eastAsia" w:ascii="宋体" w:hAnsi="宋体"/>
          <w:bCs/>
          <w:color w:val="auto"/>
          <w:kern w:val="0"/>
          <w:sz w:val="22"/>
          <w:highlight w:val="none"/>
          <w:lang w:val="en-US" w:eastAsia="zh-CN"/>
        </w:rPr>
        <w:t>叶先生</w:t>
      </w:r>
    </w:p>
    <w:p w14:paraId="0534CA7A">
      <w:pPr>
        <w:tabs>
          <w:tab w:val="left" w:pos="360"/>
        </w:tabs>
        <w:spacing w:line="360" w:lineRule="auto"/>
        <w:ind w:firstLine="440" w:firstLineChars="200"/>
        <w:rPr>
          <w:rFonts w:hint="default" w:ascii="宋体" w:hAnsi="宋体" w:eastAsia="宋体"/>
          <w:bCs/>
          <w:color w:val="auto"/>
          <w:kern w:val="0"/>
          <w:sz w:val="22"/>
          <w:highlight w:val="none"/>
          <w:lang w:val="en-US" w:eastAsia="zh-CN"/>
        </w:rPr>
      </w:pPr>
      <w:r>
        <w:rPr>
          <w:rFonts w:hint="eastAsia" w:ascii="宋体" w:hAnsi="宋体"/>
          <w:bCs/>
          <w:color w:val="auto"/>
          <w:kern w:val="0"/>
          <w:sz w:val="22"/>
          <w:highlight w:val="none"/>
        </w:rPr>
        <w:t>联系电话：</w:t>
      </w:r>
      <w:r>
        <w:rPr>
          <w:rFonts w:hint="eastAsia" w:ascii="宋体" w:hAnsi="宋体"/>
          <w:bCs/>
          <w:color w:val="auto"/>
          <w:kern w:val="0"/>
          <w:sz w:val="22"/>
          <w:highlight w:val="none"/>
          <w:lang w:val="en-US" w:eastAsia="zh-CN"/>
        </w:rPr>
        <w:t>13567736895</w:t>
      </w:r>
    </w:p>
    <w:p w14:paraId="216FC0BD">
      <w:pPr>
        <w:tabs>
          <w:tab w:val="left" w:pos="360"/>
        </w:tabs>
        <w:spacing w:line="360" w:lineRule="auto"/>
        <w:ind w:firstLine="440" w:firstLineChars="200"/>
        <w:rPr>
          <w:rFonts w:hint="eastAsia" w:ascii="宋体" w:hAnsi="宋体"/>
          <w:bCs/>
          <w:color w:val="auto"/>
          <w:kern w:val="0"/>
          <w:sz w:val="22"/>
          <w:highlight w:val="none"/>
        </w:rPr>
      </w:pPr>
      <w:r>
        <w:rPr>
          <w:rFonts w:hint="eastAsia" w:ascii="宋体" w:hAnsi="宋体"/>
          <w:bCs/>
          <w:color w:val="auto"/>
          <w:kern w:val="0"/>
          <w:sz w:val="22"/>
          <w:highlight w:val="none"/>
        </w:rPr>
        <w:t>联系地址：</w:t>
      </w:r>
      <w:r>
        <w:rPr>
          <w:rFonts w:hint="eastAsia" w:ascii="宋体" w:hAnsi="宋体"/>
          <w:bCs/>
          <w:color w:val="000000"/>
          <w:kern w:val="0"/>
          <w:sz w:val="21"/>
          <w:szCs w:val="18"/>
          <w:u w:val="none"/>
        </w:rPr>
        <w:t>温州市泰顺县罗阳镇人民路99号</w:t>
      </w:r>
    </w:p>
    <w:p w14:paraId="19740727">
      <w:pPr>
        <w:tabs>
          <w:tab w:val="left" w:pos="360"/>
        </w:tabs>
        <w:spacing w:line="360" w:lineRule="auto"/>
        <w:ind w:firstLine="440" w:firstLineChars="200"/>
        <w:rPr>
          <w:rFonts w:hint="eastAsia" w:ascii="宋体" w:hAnsi="宋体" w:eastAsia="宋体"/>
          <w:bCs/>
          <w:color w:val="auto"/>
          <w:kern w:val="0"/>
          <w:sz w:val="22"/>
          <w:highlight w:val="none"/>
          <w:lang w:eastAsia="zh-CN"/>
        </w:rPr>
      </w:pPr>
      <w:r>
        <w:rPr>
          <w:rFonts w:hint="eastAsia" w:ascii="宋体" w:hAnsi="宋体"/>
          <w:bCs/>
          <w:color w:val="auto"/>
          <w:kern w:val="0"/>
          <w:sz w:val="22"/>
          <w:highlight w:val="none"/>
        </w:rPr>
        <w:t>2、代理机构：</w:t>
      </w:r>
      <w:r>
        <w:rPr>
          <w:rFonts w:hint="eastAsia" w:ascii="宋体" w:hAnsi="宋体"/>
          <w:bCs/>
          <w:color w:val="auto"/>
          <w:kern w:val="0"/>
          <w:sz w:val="22"/>
          <w:highlight w:val="none"/>
          <w:lang w:eastAsia="zh-CN"/>
        </w:rPr>
        <w:t>浙江三凌建设项目管理有限公司</w:t>
      </w:r>
    </w:p>
    <w:p w14:paraId="5CE66771">
      <w:pPr>
        <w:tabs>
          <w:tab w:val="left" w:pos="360"/>
        </w:tabs>
        <w:spacing w:line="360" w:lineRule="auto"/>
        <w:ind w:firstLine="440" w:firstLineChars="200"/>
        <w:rPr>
          <w:rFonts w:hint="eastAsia" w:ascii="宋体" w:hAnsi="宋体"/>
          <w:bCs/>
          <w:color w:val="auto"/>
          <w:kern w:val="0"/>
          <w:sz w:val="22"/>
          <w:highlight w:val="none"/>
        </w:rPr>
      </w:pPr>
      <w:r>
        <w:rPr>
          <w:rFonts w:hint="eastAsia" w:ascii="宋体" w:hAnsi="宋体"/>
          <w:bCs/>
          <w:color w:val="auto"/>
          <w:kern w:val="0"/>
          <w:sz w:val="22"/>
          <w:highlight w:val="none"/>
        </w:rPr>
        <w:t>项目经办人：</w:t>
      </w:r>
      <w:r>
        <w:rPr>
          <w:rFonts w:hint="eastAsia" w:ascii="宋体" w:hAnsi="宋体"/>
          <w:bCs/>
          <w:color w:val="auto"/>
          <w:kern w:val="0"/>
          <w:sz w:val="22"/>
          <w:highlight w:val="none"/>
          <w:lang w:val="en-US" w:eastAsia="zh-CN"/>
        </w:rPr>
        <w:t>朱先生</w:t>
      </w:r>
      <w:r>
        <w:rPr>
          <w:rFonts w:hint="eastAsia" w:ascii="宋体" w:hAnsi="宋体"/>
          <w:bCs/>
          <w:color w:val="auto"/>
          <w:kern w:val="0"/>
          <w:sz w:val="22"/>
          <w:highlight w:val="none"/>
        </w:rPr>
        <w:t xml:space="preserve">   </w:t>
      </w:r>
    </w:p>
    <w:p w14:paraId="1712A9DE">
      <w:pPr>
        <w:tabs>
          <w:tab w:val="left" w:pos="360"/>
        </w:tabs>
        <w:spacing w:line="360" w:lineRule="auto"/>
        <w:ind w:firstLine="440" w:firstLineChars="200"/>
        <w:rPr>
          <w:rFonts w:hint="default" w:ascii="宋体" w:hAnsi="宋体" w:eastAsia="宋体"/>
          <w:bCs/>
          <w:color w:val="auto"/>
          <w:kern w:val="0"/>
          <w:sz w:val="22"/>
          <w:highlight w:val="none"/>
          <w:lang w:val="en-US" w:eastAsia="zh-CN"/>
        </w:rPr>
      </w:pPr>
      <w:r>
        <w:rPr>
          <w:rFonts w:hint="eastAsia" w:ascii="宋体" w:hAnsi="宋体"/>
          <w:bCs/>
          <w:color w:val="auto"/>
          <w:kern w:val="0"/>
          <w:sz w:val="22"/>
          <w:highlight w:val="none"/>
        </w:rPr>
        <w:t>联系电话：</w:t>
      </w:r>
      <w:r>
        <w:rPr>
          <w:rFonts w:hint="eastAsia" w:ascii="宋体" w:hAnsi="宋体"/>
          <w:bCs/>
          <w:color w:val="auto"/>
          <w:kern w:val="0"/>
          <w:sz w:val="22"/>
          <w:highlight w:val="none"/>
          <w:lang w:val="en-US" w:eastAsia="zh-CN"/>
        </w:rPr>
        <w:t>15988737601</w:t>
      </w:r>
    </w:p>
    <w:p w14:paraId="568D21A5">
      <w:pPr>
        <w:tabs>
          <w:tab w:val="left" w:pos="360"/>
        </w:tabs>
        <w:spacing w:line="360" w:lineRule="auto"/>
        <w:ind w:firstLine="440" w:firstLineChars="200"/>
        <w:rPr>
          <w:rFonts w:hint="eastAsia" w:ascii="宋体" w:hAnsi="宋体"/>
          <w:bCs/>
          <w:color w:val="auto"/>
          <w:kern w:val="0"/>
          <w:sz w:val="22"/>
          <w:highlight w:val="none"/>
        </w:rPr>
        <w:sectPr>
          <w:footerReference r:id="rId7" w:type="default"/>
          <w:pgSz w:w="11906" w:h="16838"/>
          <w:pgMar w:top="1440" w:right="1361" w:bottom="1276" w:left="1361" w:header="851" w:footer="992" w:gutter="0"/>
          <w:cols w:space="720" w:num="1"/>
          <w:titlePg/>
          <w:docGrid w:linePitch="312" w:charSpace="0"/>
        </w:sectPr>
      </w:pPr>
      <w:r>
        <w:rPr>
          <w:rFonts w:hint="eastAsia" w:ascii="宋体" w:hAnsi="宋体"/>
          <w:bCs/>
          <w:color w:val="auto"/>
          <w:kern w:val="0"/>
          <w:sz w:val="22"/>
          <w:highlight w:val="none"/>
        </w:rPr>
        <w:t>地址：</w:t>
      </w:r>
      <w:r>
        <w:rPr>
          <w:rFonts w:hint="eastAsia" w:ascii="宋体" w:hAnsi="宋体" w:eastAsia="宋体" w:cs="Times New Roman"/>
          <w:color w:val="000000"/>
          <w:sz w:val="21"/>
          <w:szCs w:val="21"/>
          <w:u w:val="none"/>
          <w:lang w:eastAsia="zh-CN"/>
        </w:rPr>
        <w:t>泰顺县罗阳镇文祥大道新城旧村改造安置点18号楼3楼</w:t>
      </w:r>
      <w:r>
        <w:rPr>
          <w:rFonts w:hint="eastAsia" w:ascii="宋体" w:hAnsi="宋体"/>
          <w:bCs/>
          <w:color w:val="auto"/>
          <w:kern w:val="0"/>
          <w:sz w:val="22"/>
          <w:highlight w:val="none"/>
        </w:rPr>
        <w:t>　　</w:t>
      </w:r>
    </w:p>
    <w:p w14:paraId="577E12BE">
      <w:pPr>
        <w:tabs>
          <w:tab w:val="left" w:pos="1080"/>
        </w:tabs>
        <w:autoSpaceDE w:val="0"/>
        <w:autoSpaceDN w:val="0"/>
        <w:adjustRightInd w:val="0"/>
        <w:spacing w:line="500" w:lineRule="atLeast"/>
        <w:jc w:val="center"/>
        <w:textAlignment w:val="baseline"/>
        <w:outlineLvl w:val="0"/>
        <w:rPr>
          <w:rFonts w:ascii="宋体" w:hAnsi="宋体"/>
          <w:b/>
          <w:bCs/>
          <w:color w:val="auto"/>
          <w:sz w:val="32"/>
          <w:szCs w:val="32"/>
          <w:highlight w:val="none"/>
          <w:lang w:val="zh-CN"/>
        </w:rPr>
      </w:pPr>
      <w:r>
        <w:rPr>
          <w:rFonts w:hint="eastAsia" w:ascii="宋体" w:hAnsi="宋体"/>
          <w:b/>
          <w:bCs/>
          <w:color w:val="auto"/>
          <w:sz w:val="36"/>
          <w:szCs w:val="36"/>
          <w:highlight w:val="none"/>
          <w:lang w:val="zh-CN"/>
        </w:rPr>
        <w:t>第一部分   投标邀请函（投标须知前附表）</w:t>
      </w:r>
    </w:p>
    <w:tbl>
      <w:tblPr>
        <w:tblStyle w:val="38"/>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751"/>
        <w:gridCol w:w="1620"/>
        <w:gridCol w:w="7800"/>
      </w:tblGrid>
      <w:tr w14:paraId="7962E9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751" w:type="dxa"/>
            <w:tcBorders>
              <w:top w:val="single" w:color="auto" w:sz="12" w:space="0"/>
            </w:tcBorders>
            <w:vAlign w:val="center"/>
          </w:tcPr>
          <w:p w14:paraId="54AF8212">
            <w:pPr>
              <w:spacing w:line="400" w:lineRule="atLeas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项号</w:t>
            </w:r>
          </w:p>
        </w:tc>
        <w:tc>
          <w:tcPr>
            <w:tcW w:w="1620" w:type="dxa"/>
            <w:tcBorders>
              <w:top w:val="single" w:color="auto" w:sz="12" w:space="0"/>
            </w:tcBorders>
            <w:vAlign w:val="center"/>
          </w:tcPr>
          <w:p w14:paraId="0730D003">
            <w:pPr>
              <w:spacing w:line="400" w:lineRule="atLeas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内容</w:t>
            </w:r>
          </w:p>
        </w:tc>
        <w:tc>
          <w:tcPr>
            <w:tcW w:w="7800" w:type="dxa"/>
            <w:tcBorders>
              <w:top w:val="single" w:color="auto" w:sz="12" w:space="0"/>
            </w:tcBorders>
            <w:vAlign w:val="center"/>
          </w:tcPr>
          <w:p w14:paraId="21CDE17C">
            <w:pPr>
              <w:spacing w:line="400" w:lineRule="atLeas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说明与要求</w:t>
            </w:r>
          </w:p>
        </w:tc>
      </w:tr>
      <w:tr w14:paraId="215D9E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751" w:type="dxa"/>
            <w:tcBorders>
              <w:top w:val="single" w:color="auto" w:sz="4" w:space="0"/>
              <w:left w:val="single" w:color="auto" w:sz="12" w:space="0"/>
              <w:right w:val="single" w:color="auto" w:sz="4" w:space="0"/>
            </w:tcBorders>
            <w:vAlign w:val="center"/>
          </w:tcPr>
          <w:p w14:paraId="224B0EA9">
            <w:pPr>
              <w:widowControl/>
              <w:numPr>
                <w:ilvl w:val="0"/>
                <w:numId w:val="2"/>
              </w:numPr>
              <w:tabs>
                <w:tab w:val="left" w:pos="432"/>
              </w:tabs>
              <w:ind w:left="420" w:hanging="420"/>
              <w:jc w:val="center"/>
              <w:rPr>
                <w:rFonts w:hint="eastAsia" w:ascii="宋体" w:hAnsi="宋体" w:eastAsia="宋体" w:cs="宋体"/>
                <w:color w:val="auto"/>
                <w:sz w:val="22"/>
                <w:highlight w:val="none"/>
              </w:rPr>
            </w:pPr>
          </w:p>
        </w:tc>
        <w:tc>
          <w:tcPr>
            <w:tcW w:w="1620" w:type="dxa"/>
            <w:tcBorders>
              <w:top w:val="single" w:color="auto" w:sz="4" w:space="0"/>
              <w:left w:val="single" w:color="auto" w:sz="4" w:space="0"/>
              <w:right w:val="single" w:color="auto" w:sz="4" w:space="0"/>
            </w:tcBorders>
            <w:vAlign w:val="center"/>
          </w:tcPr>
          <w:p w14:paraId="3F5E37BE">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项目名称</w:t>
            </w:r>
          </w:p>
        </w:tc>
        <w:tc>
          <w:tcPr>
            <w:tcW w:w="7800" w:type="dxa"/>
            <w:tcBorders>
              <w:top w:val="single" w:color="auto" w:sz="4" w:space="0"/>
              <w:left w:val="single" w:color="auto" w:sz="4" w:space="0"/>
              <w:right w:val="single" w:color="auto" w:sz="12" w:space="0"/>
            </w:tcBorders>
            <w:vAlign w:val="center"/>
          </w:tcPr>
          <w:p w14:paraId="5AC3EDD3">
            <w:pPr>
              <w:rPr>
                <w:rFonts w:hint="eastAsia" w:ascii="宋体" w:hAnsi="宋体" w:eastAsia="宋体" w:cs="宋体"/>
                <w:color w:val="auto"/>
                <w:sz w:val="22"/>
                <w:highlight w:val="none"/>
                <w:lang w:eastAsia="zh-CN"/>
              </w:rPr>
            </w:pPr>
            <w:r>
              <w:rPr>
                <w:rFonts w:hint="eastAsia" w:ascii="宋体" w:hAnsi="宋体" w:cs="宋体"/>
                <w:bCs/>
                <w:color w:val="auto"/>
                <w:sz w:val="22"/>
                <w:highlight w:val="none"/>
                <w:lang w:eastAsia="zh-CN"/>
              </w:rPr>
              <w:t>龟湖镇水厂备用水源工程设备采购</w:t>
            </w:r>
          </w:p>
        </w:tc>
      </w:tr>
      <w:tr w14:paraId="01924C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751" w:type="dxa"/>
            <w:tcBorders>
              <w:top w:val="single" w:color="auto" w:sz="4" w:space="0"/>
              <w:left w:val="single" w:color="auto" w:sz="12" w:space="0"/>
              <w:right w:val="single" w:color="auto" w:sz="4" w:space="0"/>
            </w:tcBorders>
            <w:vAlign w:val="center"/>
          </w:tcPr>
          <w:p w14:paraId="0E2F254D">
            <w:pPr>
              <w:widowControl/>
              <w:numPr>
                <w:ilvl w:val="0"/>
                <w:numId w:val="2"/>
              </w:numPr>
              <w:tabs>
                <w:tab w:val="left" w:pos="432"/>
              </w:tabs>
              <w:ind w:left="420" w:hanging="420"/>
              <w:jc w:val="center"/>
              <w:rPr>
                <w:rFonts w:hint="eastAsia" w:ascii="宋体" w:hAnsi="宋体" w:eastAsia="宋体" w:cs="宋体"/>
                <w:color w:val="auto"/>
                <w:sz w:val="22"/>
                <w:highlight w:val="none"/>
              </w:rPr>
            </w:pPr>
          </w:p>
        </w:tc>
        <w:tc>
          <w:tcPr>
            <w:tcW w:w="1620" w:type="dxa"/>
            <w:tcBorders>
              <w:top w:val="single" w:color="auto" w:sz="4" w:space="0"/>
              <w:left w:val="single" w:color="auto" w:sz="4" w:space="0"/>
              <w:right w:val="single" w:color="auto" w:sz="4" w:space="0"/>
            </w:tcBorders>
            <w:vAlign w:val="center"/>
          </w:tcPr>
          <w:p w14:paraId="606D6BBF">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项目编号</w:t>
            </w:r>
          </w:p>
        </w:tc>
        <w:tc>
          <w:tcPr>
            <w:tcW w:w="7800" w:type="dxa"/>
            <w:tcBorders>
              <w:top w:val="single" w:color="auto" w:sz="4" w:space="0"/>
              <w:left w:val="single" w:color="auto" w:sz="4" w:space="0"/>
              <w:right w:val="single" w:color="auto" w:sz="12" w:space="0"/>
            </w:tcBorders>
            <w:vAlign w:val="center"/>
          </w:tcPr>
          <w:p w14:paraId="17EB54F6">
            <w:pPr>
              <w:rPr>
                <w:rFonts w:hint="eastAsia" w:ascii="宋体" w:hAnsi="宋体" w:eastAsia="宋体" w:cs="宋体"/>
                <w:color w:val="auto"/>
                <w:sz w:val="22"/>
                <w:highlight w:val="none"/>
              </w:rPr>
            </w:pPr>
            <w:r>
              <w:rPr>
                <w:rFonts w:hint="eastAsia" w:ascii="宋体" w:hAnsi="宋体" w:cs="宋体"/>
                <w:color w:val="auto"/>
                <w:sz w:val="22"/>
                <w:highlight w:val="none"/>
                <w:lang w:val="en-US" w:eastAsia="zh-CN"/>
              </w:rPr>
              <w:t>TSCG202601002</w:t>
            </w:r>
          </w:p>
        </w:tc>
      </w:tr>
      <w:tr w14:paraId="285FF3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751" w:type="dxa"/>
            <w:tcBorders>
              <w:top w:val="single" w:color="auto" w:sz="4" w:space="0"/>
              <w:left w:val="single" w:color="auto" w:sz="12" w:space="0"/>
              <w:right w:val="single" w:color="auto" w:sz="4" w:space="0"/>
            </w:tcBorders>
            <w:vAlign w:val="center"/>
          </w:tcPr>
          <w:p w14:paraId="60D7108C">
            <w:pPr>
              <w:widowControl/>
              <w:numPr>
                <w:ilvl w:val="0"/>
                <w:numId w:val="2"/>
              </w:numPr>
              <w:tabs>
                <w:tab w:val="left" w:pos="432"/>
              </w:tabs>
              <w:ind w:left="420" w:hanging="420"/>
              <w:jc w:val="center"/>
              <w:rPr>
                <w:rFonts w:hint="eastAsia" w:ascii="宋体" w:hAnsi="宋体" w:eastAsia="宋体" w:cs="宋体"/>
                <w:color w:val="auto"/>
                <w:sz w:val="22"/>
                <w:highlight w:val="none"/>
              </w:rPr>
            </w:pPr>
          </w:p>
        </w:tc>
        <w:tc>
          <w:tcPr>
            <w:tcW w:w="1620" w:type="dxa"/>
            <w:tcBorders>
              <w:top w:val="single" w:color="auto" w:sz="4" w:space="0"/>
              <w:left w:val="single" w:color="auto" w:sz="4" w:space="0"/>
              <w:right w:val="single" w:color="auto" w:sz="4" w:space="0"/>
            </w:tcBorders>
            <w:vAlign w:val="center"/>
          </w:tcPr>
          <w:p w14:paraId="1893D6C6">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资金来源</w:t>
            </w:r>
          </w:p>
        </w:tc>
        <w:tc>
          <w:tcPr>
            <w:tcW w:w="7800" w:type="dxa"/>
            <w:tcBorders>
              <w:top w:val="single" w:color="auto" w:sz="4" w:space="0"/>
              <w:left w:val="single" w:color="auto" w:sz="4" w:space="0"/>
              <w:right w:val="single" w:color="auto" w:sz="12" w:space="0"/>
            </w:tcBorders>
            <w:vAlign w:val="center"/>
          </w:tcPr>
          <w:p w14:paraId="07CD97BE">
            <w:pPr>
              <w:rPr>
                <w:rFonts w:hint="eastAsia" w:ascii="宋体" w:hAnsi="宋体" w:eastAsia="宋体" w:cs="宋体"/>
                <w:color w:val="auto"/>
                <w:sz w:val="22"/>
                <w:highlight w:val="none"/>
              </w:rPr>
            </w:pPr>
            <w:r>
              <w:rPr>
                <w:rFonts w:hint="eastAsia" w:ascii="宋体" w:hAnsi="宋体" w:eastAsia="宋体" w:cs="宋体"/>
                <w:color w:val="auto"/>
                <w:sz w:val="22"/>
                <w:highlight w:val="none"/>
              </w:rPr>
              <w:t>企业资金</w:t>
            </w:r>
          </w:p>
        </w:tc>
      </w:tr>
      <w:tr w14:paraId="638FF7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751" w:type="dxa"/>
            <w:tcBorders>
              <w:top w:val="single" w:color="auto" w:sz="4" w:space="0"/>
              <w:left w:val="single" w:color="auto" w:sz="12" w:space="0"/>
              <w:right w:val="single" w:color="auto" w:sz="4" w:space="0"/>
            </w:tcBorders>
            <w:vAlign w:val="center"/>
          </w:tcPr>
          <w:p w14:paraId="64E6E1C1">
            <w:pPr>
              <w:widowControl/>
              <w:numPr>
                <w:ilvl w:val="0"/>
                <w:numId w:val="2"/>
              </w:numPr>
              <w:tabs>
                <w:tab w:val="left" w:pos="432"/>
              </w:tabs>
              <w:ind w:left="420" w:hanging="420"/>
              <w:jc w:val="center"/>
              <w:rPr>
                <w:rFonts w:hint="eastAsia" w:ascii="宋体" w:hAnsi="宋体" w:eastAsia="宋体" w:cs="宋体"/>
                <w:color w:val="auto"/>
                <w:sz w:val="22"/>
                <w:highlight w:val="none"/>
              </w:rPr>
            </w:pPr>
          </w:p>
        </w:tc>
        <w:tc>
          <w:tcPr>
            <w:tcW w:w="1620" w:type="dxa"/>
            <w:tcBorders>
              <w:top w:val="single" w:color="auto" w:sz="4" w:space="0"/>
              <w:left w:val="single" w:color="auto" w:sz="4" w:space="0"/>
              <w:right w:val="single" w:color="auto" w:sz="4" w:space="0"/>
            </w:tcBorders>
            <w:vAlign w:val="center"/>
          </w:tcPr>
          <w:p w14:paraId="0F4A5C48">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采购单位式</w:t>
            </w:r>
          </w:p>
        </w:tc>
        <w:tc>
          <w:tcPr>
            <w:tcW w:w="7800" w:type="dxa"/>
            <w:tcBorders>
              <w:top w:val="single" w:color="auto" w:sz="4" w:space="0"/>
              <w:left w:val="single" w:color="auto" w:sz="4" w:space="0"/>
              <w:right w:val="single" w:color="auto" w:sz="12" w:space="0"/>
            </w:tcBorders>
            <w:vAlign w:val="center"/>
          </w:tcPr>
          <w:p w14:paraId="219B8D3C">
            <w:pPr>
              <w:rPr>
                <w:rFonts w:hint="eastAsia" w:ascii="宋体" w:hAnsi="宋体" w:eastAsia="宋体" w:cs="宋体"/>
                <w:color w:val="auto"/>
                <w:sz w:val="22"/>
                <w:highlight w:val="none"/>
              </w:rPr>
            </w:pPr>
            <w:r>
              <w:rPr>
                <w:rFonts w:hint="eastAsia" w:ascii="宋体" w:hAnsi="宋体" w:eastAsia="宋体" w:cs="宋体"/>
                <w:color w:val="auto"/>
                <w:sz w:val="22"/>
                <w:highlight w:val="none"/>
              </w:rPr>
              <w:t>公开招标</w:t>
            </w:r>
          </w:p>
        </w:tc>
      </w:tr>
      <w:tr w14:paraId="2C50FD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751" w:type="dxa"/>
            <w:tcBorders>
              <w:top w:val="single" w:color="auto" w:sz="4" w:space="0"/>
              <w:left w:val="single" w:color="auto" w:sz="12" w:space="0"/>
              <w:right w:val="single" w:color="auto" w:sz="4" w:space="0"/>
            </w:tcBorders>
            <w:vAlign w:val="center"/>
          </w:tcPr>
          <w:p w14:paraId="30F70D93">
            <w:pPr>
              <w:widowControl/>
              <w:numPr>
                <w:ilvl w:val="0"/>
                <w:numId w:val="2"/>
              </w:numPr>
              <w:tabs>
                <w:tab w:val="left" w:pos="432"/>
              </w:tabs>
              <w:ind w:left="420" w:hanging="420"/>
              <w:jc w:val="center"/>
              <w:rPr>
                <w:rFonts w:hint="eastAsia" w:ascii="宋体" w:hAnsi="宋体" w:eastAsia="宋体" w:cs="宋体"/>
                <w:color w:val="auto"/>
                <w:sz w:val="22"/>
                <w:highlight w:val="none"/>
              </w:rPr>
            </w:pPr>
          </w:p>
        </w:tc>
        <w:tc>
          <w:tcPr>
            <w:tcW w:w="1620" w:type="dxa"/>
            <w:tcBorders>
              <w:top w:val="single" w:color="auto" w:sz="4" w:space="0"/>
              <w:left w:val="single" w:color="auto" w:sz="4" w:space="0"/>
              <w:right w:val="single" w:color="auto" w:sz="4" w:space="0"/>
            </w:tcBorders>
            <w:vAlign w:val="center"/>
          </w:tcPr>
          <w:p w14:paraId="4C8A4164">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采购预算</w:t>
            </w:r>
          </w:p>
          <w:p w14:paraId="6BC08D20">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（最高限价）</w:t>
            </w:r>
          </w:p>
        </w:tc>
        <w:tc>
          <w:tcPr>
            <w:tcW w:w="7800" w:type="dxa"/>
            <w:tcBorders>
              <w:top w:val="single" w:color="auto" w:sz="4" w:space="0"/>
              <w:left w:val="single" w:color="auto" w:sz="4" w:space="0"/>
              <w:right w:val="single" w:color="auto" w:sz="12" w:space="0"/>
            </w:tcBorders>
            <w:vAlign w:val="center"/>
          </w:tcPr>
          <w:p w14:paraId="7CFD6C15">
            <w:pPr>
              <w:widowControl/>
              <w:rPr>
                <w:rFonts w:hint="eastAsia" w:ascii="宋体" w:hAnsi="宋体" w:eastAsia="宋体" w:cs="宋体"/>
                <w:b/>
                <w:color w:val="auto"/>
                <w:sz w:val="22"/>
                <w:highlight w:val="none"/>
              </w:rPr>
            </w:pPr>
            <w:r>
              <w:rPr>
                <w:rFonts w:hint="eastAsia" w:ascii="宋体" w:cs="Times New Roman"/>
                <w:color w:val="auto"/>
                <w:sz w:val="22"/>
                <w:szCs w:val="20"/>
                <w:highlight w:val="none"/>
                <w:lang w:val="en-US" w:eastAsia="zh-CN"/>
              </w:rPr>
              <w:t>131.9784万元</w:t>
            </w:r>
          </w:p>
        </w:tc>
      </w:tr>
      <w:tr w14:paraId="703308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51" w:type="dxa"/>
            <w:tcBorders>
              <w:top w:val="single" w:color="auto" w:sz="4" w:space="0"/>
              <w:left w:val="single" w:color="auto" w:sz="12" w:space="0"/>
              <w:right w:val="single" w:color="auto" w:sz="4" w:space="0"/>
            </w:tcBorders>
            <w:vAlign w:val="center"/>
          </w:tcPr>
          <w:p w14:paraId="3BB995C9">
            <w:pPr>
              <w:widowControl/>
              <w:numPr>
                <w:ilvl w:val="0"/>
                <w:numId w:val="2"/>
              </w:numPr>
              <w:tabs>
                <w:tab w:val="left" w:pos="432"/>
              </w:tabs>
              <w:ind w:left="420" w:hanging="420"/>
              <w:jc w:val="center"/>
              <w:rPr>
                <w:rFonts w:hint="eastAsia" w:ascii="宋体" w:hAnsi="宋体" w:eastAsia="宋体" w:cs="宋体"/>
                <w:color w:val="auto"/>
                <w:sz w:val="22"/>
                <w:highlight w:val="none"/>
              </w:rPr>
            </w:pPr>
          </w:p>
        </w:tc>
        <w:tc>
          <w:tcPr>
            <w:tcW w:w="1620" w:type="dxa"/>
            <w:tcBorders>
              <w:top w:val="single" w:color="auto" w:sz="4" w:space="0"/>
              <w:left w:val="single" w:color="auto" w:sz="4" w:space="0"/>
              <w:right w:val="single" w:color="auto" w:sz="4" w:space="0"/>
            </w:tcBorders>
            <w:vAlign w:val="center"/>
          </w:tcPr>
          <w:p w14:paraId="257E113F">
            <w:pPr>
              <w:adjustRightIn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采购单位</w:t>
            </w:r>
          </w:p>
        </w:tc>
        <w:tc>
          <w:tcPr>
            <w:tcW w:w="7800" w:type="dxa"/>
            <w:tcBorders>
              <w:top w:val="single" w:color="auto" w:sz="4" w:space="0"/>
              <w:left w:val="single" w:color="auto" w:sz="4" w:space="0"/>
              <w:right w:val="single" w:color="auto" w:sz="12" w:space="0"/>
            </w:tcBorders>
            <w:vAlign w:val="center"/>
          </w:tcPr>
          <w:p w14:paraId="49511982">
            <w:pPr>
              <w:adjustRightInd w:val="0"/>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温州公用事业发展集团泰顺水务有限公司</w:t>
            </w:r>
          </w:p>
        </w:tc>
      </w:tr>
      <w:tr w14:paraId="39C44E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751" w:type="dxa"/>
            <w:tcBorders>
              <w:top w:val="single" w:color="auto" w:sz="4" w:space="0"/>
              <w:left w:val="single" w:color="auto" w:sz="12" w:space="0"/>
              <w:right w:val="single" w:color="auto" w:sz="4" w:space="0"/>
            </w:tcBorders>
            <w:vAlign w:val="center"/>
          </w:tcPr>
          <w:p w14:paraId="27629BDA">
            <w:pPr>
              <w:widowControl/>
              <w:numPr>
                <w:ilvl w:val="0"/>
                <w:numId w:val="2"/>
              </w:numPr>
              <w:tabs>
                <w:tab w:val="left" w:pos="432"/>
              </w:tabs>
              <w:ind w:left="420" w:right="105" w:hanging="420"/>
              <w:jc w:val="center"/>
              <w:rPr>
                <w:rFonts w:hint="eastAsia" w:ascii="宋体" w:hAnsi="宋体" w:eastAsia="宋体" w:cs="宋体"/>
                <w:color w:val="auto"/>
                <w:sz w:val="22"/>
                <w:highlight w:val="none"/>
              </w:rPr>
            </w:pPr>
          </w:p>
        </w:tc>
        <w:tc>
          <w:tcPr>
            <w:tcW w:w="1620" w:type="dxa"/>
            <w:tcBorders>
              <w:top w:val="single" w:color="auto" w:sz="4" w:space="0"/>
              <w:left w:val="single" w:color="auto" w:sz="4" w:space="0"/>
              <w:right w:val="single" w:color="auto" w:sz="4" w:space="0"/>
            </w:tcBorders>
            <w:vAlign w:val="center"/>
          </w:tcPr>
          <w:p w14:paraId="0F5A20B7">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招标代理机构</w:t>
            </w:r>
          </w:p>
        </w:tc>
        <w:tc>
          <w:tcPr>
            <w:tcW w:w="7800" w:type="dxa"/>
            <w:tcBorders>
              <w:top w:val="single" w:color="auto" w:sz="4" w:space="0"/>
              <w:left w:val="single" w:color="auto" w:sz="4" w:space="0"/>
              <w:right w:val="single" w:color="auto" w:sz="12" w:space="0"/>
            </w:tcBorders>
            <w:vAlign w:val="center"/>
          </w:tcPr>
          <w:p w14:paraId="3D773BA0">
            <w:pPr>
              <w:adjustRightInd w:val="0"/>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浙江三凌建设项目管理有限公司</w:t>
            </w:r>
          </w:p>
        </w:tc>
      </w:tr>
      <w:tr w14:paraId="084E36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751" w:type="dxa"/>
            <w:tcBorders>
              <w:top w:val="single" w:color="auto" w:sz="4" w:space="0"/>
              <w:left w:val="single" w:color="auto" w:sz="12" w:space="0"/>
              <w:right w:val="single" w:color="auto" w:sz="4" w:space="0"/>
            </w:tcBorders>
            <w:vAlign w:val="center"/>
          </w:tcPr>
          <w:p w14:paraId="05F9B9EF">
            <w:pPr>
              <w:widowControl/>
              <w:numPr>
                <w:ilvl w:val="0"/>
                <w:numId w:val="2"/>
              </w:numPr>
              <w:tabs>
                <w:tab w:val="left" w:pos="432"/>
              </w:tabs>
              <w:ind w:left="420" w:right="105" w:hanging="420"/>
              <w:jc w:val="center"/>
              <w:rPr>
                <w:rFonts w:hint="eastAsia" w:ascii="宋体" w:hAnsi="宋体" w:eastAsia="宋体" w:cs="宋体"/>
                <w:color w:val="auto"/>
                <w:sz w:val="22"/>
                <w:highlight w:val="none"/>
              </w:rPr>
            </w:pPr>
          </w:p>
        </w:tc>
        <w:tc>
          <w:tcPr>
            <w:tcW w:w="1620" w:type="dxa"/>
            <w:tcBorders>
              <w:top w:val="single" w:color="auto" w:sz="4" w:space="0"/>
              <w:left w:val="single" w:color="auto" w:sz="4" w:space="0"/>
              <w:right w:val="single" w:color="auto" w:sz="4" w:space="0"/>
            </w:tcBorders>
            <w:vAlign w:val="center"/>
          </w:tcPr>
          <w:p w14:paraId="7DE54E1E">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评标办法</w:t>
            </w:r>
          </w:p>
        </w:tc>
        <w:tc>
          <w:tcPr>
            <w:tcW w:w="7800" w:type="dxa"/>
            <w:tcBorders>
              <w:top w:val="single" w:color="auto" w:sz="4" w:space="0"/>
              <w:left w:val="single" w:color="auto" w:sz="4" w:space="0"/>
              <w:right w:val="single" w:color="auto" w:sz="12" w:space="0"/>
            </w:tcBorders>
            <w:vAlign w:val="center"/>
          </w:tcPr>
          <w:p w14:paraId="4A2F84EE">
            <w:pPr>
              <w:adjustRightInd w:val="0"/>
              <w:rPr>
                <w:rFonts w:hint="eastAsia" w:ascii="宋体" w:hAnsi="宋体" w:eastAsia="宋体" w:cs="宋体"/>
                <w:color w:val="auto"/>
                <w:sz w:val="22"/>
                <w:highlight w:val="none"/>
              </w:rPr>
            </w:pPr>
            <w:r>
              <w:rPr>
                <w:rFonts w:hint="eastAsia" w:ascii="宋体" w:hAnsi="宋体" w:eastAsia="宋体" w:cs="宋体"/>
                <w:color w:val="auto"/>
                <w:sz w:val="22"/>
                <w:highlight w:val="none"/>
              </w:rPr>
              <w:t>综合评分法</w:t>
            </w:r>
          </w:p>
        </w:tc>
      </w:tr>
      <w:tr w14:paraId="175519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751" w:type="dxa"/>
            <w:tcBorders>
              <w:top w:val="single" w:color="auto" w:sz="4" w:space="0"/>
              <w:left w:val="single" w:color="auto" w:sz="12" w:space="0"/>
              <w:right w:val="single" w:color="auto" w:sz="4" w:space="0"/>
            </w:tcBorders>
            <w:vAlign w:val="center"/>
          </w:tcPr>
          <w:p w14:paraId="2C307724">
            <w:pPr>
              <w:widowControl/>
              <w:numPr>
                <w:ilvl w:val="0"/>
                <w:numId w:val="2"/>
              </w:numPr>
              <w:tabs>
                <w:tab w:val="left" w:pos="432"/>
              </w:tabs>
              <w:ind w:left="420" w:hanging="420"/>
              <w:jc w:val="center"/>
              <w:rPr>
                <w:rFonts w:hint="eastAsia" w:ascii="宋体" w:hAnsi="宋体" w:eastAsia="宋体" w:cs="宋体"/>
                <w:color w:val="auto"/>
                <w:sz w:val="22"/>
                <w:highlight w:val="none"/>
              </w:rPr>
            </w:pPr>
          </w:p>
        </w:tc>
        <w:tc>
          <w:tcPr>
            <w:tcW w:w="1620" w:type="dxa"/>
            <w:tcBorders>
              <w:top w:val="single" w:color="auto" w:sz="4" w:space="0"/>
              <w:left w:val="single" w:color="auto" w:sz="4" w:space="0"/>
              <w:right w:val="single" w:color="auto" w:sz="4" w:space="0"/>
            </w:tcBorders>
            <w:vAlign w:val="center"/>
          </w:tcPr>
          <w:p w14:paraId="07D049D3">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招标内容</w:t>
            </w:r>
          </w:p>
        </w:tc>
        <w:tc>
          <w:tcPr>
            <w:tcW w:w="7800" w:type="dxa"/>
            <w:tcBorders>
              <w:top w:val="single" w:color="auto" w:sz="4" w:space="0"/>
              <w:left w:val="single" w:color="auto" w:sz="4" w:space="0"/>
              <w:right w:val="single" w:color="auto" w:sz="12" w:space="0"/>
            </w:tcBorders>
            <w:vAlign w:val="center"/>
          </w:tcPr>
          <w:p w14:paraId="5E840916">
            <w:pPr>
              <w:adjustRightInd w:val="0"/>
              <w:rPr>
                <w:rFonts w:hint="eastAsia" w:ascii="宋体" w:hAnsi="宋体" w:eastAsia="宋体" w:cs="宋体"/>
                <w:color w:val="auto"/>
                <w:sz w:val="22"/>
                <w:highlight w:val="none"/>
              </w:rPr>
            </w:pPr>
            <w:r>
              <w:rPr>
                <w:rFonts w:hint="eastAsia" w:ascii="宋体" w:hAnsi="宋体" w:eastAsia="宋体" w:cs="宋体"/>
                <w:color w:val="auto"/>
                <w:sz w:val="22"/>
                <w:highlight w:val="none"/>
              </w:rPr>
              <w:t>具体内容见招标文件。</w:t>
            </w:r>
          </w:p>
        </w:tc>
      </w:tr>
      <w:tr w14:paraId="6B7205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751" w:type="dxa"/>
            <w:tcBorders>
              <w:top w:val="single" w:color="auto" w:sz="4" w:space="0"/>
              <w:left w:val="single" w:color="auto" w:sz="12" w:space="0"/>
              <w:right w:val="single" w:color="auto" w:sz="4" w:space="0"/>
            </w:tcBorders>
            <w:vAlign w:val="center"/>
          </w:tcPr>
          <w:p w14:paraId="7C2411EB">
            <w:pPr>
              <w:widowControl/>
              <w:numPr>
                <w:ilvl w:val="0"/>
                <w:numId w:val="2"/>
              </w:numPr>
              <w:tabs>
                <w:tab w:val="left" w:pos="432"/>
              </w:tabs>
              <w:ind w:left="420" w:hanging="420"/>
              <w:jc w:val="center"/>
              <w:rPr>
                <w:rFonts w:hint="eastAsia" w:ascii="宋体" w:hAnsi="宋体" w:eastAsia="宋体" w:cs="宋体"/>
                <w:color w:val="auto"/>
                <w:sz w:val="22"/>
                <w:highlight w:val="none"/>
              </w:rPr>
            </w:pPr>
          </w:p>
        </w:tc>
        <w:tc>
          <w:tcPr>
            <w:tcW w:w="1620" w:type="dxa"/>
            <w:tcBorders>
              <w:top w:val="single" w:color="auto" w:sz="4" w:space="0"/>
              <w:left w:val="single" w:color="auto" w:sz="4" w:space="0"/>
              <w:right w:val="single" w:color="auto" w:sz="4" w:space="0"/>
            </w:tcBorders>
            <w:vAlign w:val="center"/>
          </w:tcPr>
          <w:p w14:paraId="55814E8A">
            <w:pPr>
              <w:adjustRightInd w:val="0"/>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投标供应商</w:t>
            </w:r>
          </w:p>
          <w:p w14:paraId="6031373E">
            <w:pPr>
              <w:adjustRightInd w:val="0"/>
              <w:rPr>
                <w:rFonts w:hint="eastAsia" w:ascii="宋体" w:hAnsi="宋体" w:eastAsia="宋体" w:cs="宋体"/>
                <w:color w:val="auto"/>
                <w:sz w:val="22"/>
                <w:highlight w:val="none"/>
              </w:rPr>
            </w:pPr>
            <w:r>
              <w:rPr>
                <w:rFonts w:hint="eastAsia" w:ascii="宋体" w:hAnsi="宋体" w:eastAsia="宋体" w:cs="宋体"/>
                <w:color w:val="auto"/>
                <w:sz w:val="22"/>
                <w:highlight w:val="none"/>
              </w:rPr>
              <w:t>资格要求</w:t>
            </w:r>
          </w:p>
        </w:tc>
        <w:tc>
          <w:tcPr>
            <w:tcW w:w="7800" w:type="dxa"/>
            <w:tcBorders>
              <w:top w:val="single" w:color="auto" w:sz="4" w:space="0"/>
              <w:left w:val="single" w:color="auto" w:sz="4" w:space="0"/>
              <w:right w:val="single" w:color="auto" w:sz="12" w:space="0"/>
            </w:tcBorders>
            <w:vAlign w:val="center"/>
          </w:tcPr>
          <w:p w14:paraId="6EF46DCB">
            <w:pPr>
              <w:adjustRightInd w:val="0"/>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r>
              <w:rPr>
                <w:rFonts w:hint="eastAsia" w:ascii="宋体" w:hAnsi="宋体" w:cs="宋体"/>
                <w:color w:val="auto"/>
                <w:sz w:val="22"/>
                <w:highlight w:val="none"/>
                <w:lang w:eastAsia="zh-CN"/>
              </w:rPr>
              <w:t>符合《温州市市属国有企业采购管理办法（试行）》对供应商参加国有企业采购活动应当具备的条件</w:t>
            </w:r>
            <w:r>
              <w:rPr>
                <w:rFonts w:hint="eastAsia" w:ascii="宋体" w:hAnsi="宋体" w:eastAsia="宋体" w:cs="宋体"/>
                <w:color w:val="auto"/>
                <w:sz w:val="22"/>
                <w:highlight w:val="none"/>
              </w:rPr>
              <w:t>的要求；</w:t>
            </w:r>
          </w:p>
          <w:p w14:paraId="766634C6">
            <w:pPr>
              <w:adjustRightInd w:val="0"/>
              <w:rPr>
                <w:rFonts w:hint="eastAsia" w:ascii="宋体" w:hAnsi="宋体" w:eastAsia="宋体" w:cs="宋体"/>
                <w:color w:val="auto"/>
                <w:sz w:val="22"/>
                <w:highlight w:val="none"/>
              </w:rPr>
            </w:pPr>
            <w:r>
              <w:rPr>
                <w:rFonts w:hint="eastAsia" w:ascii="宋体" w:hAnsi="宋体" w:eastAsia="宋体" w:cs="宋体"/>
                <w:color w:val="auto"/>
                <w:sz w:val="22"/>
                <w:highlight w:val="none"/>
              </w:rPr>
              <w:t>2、未被“信用中国”（www.creditchina.gov.cn）、中国政府采购网（www.ccgp.gov.cn）列入失信被执行人、重大税收违法案件当事人名单、政府采购严重违法失信行为记录名单。</w:t>
            </w:r>
          </w:p>
          <w:p w14:paraId="7AB80322">
            <w:pPr>
              <w:adjustRightInd w:val="0"/>
              <w:rPr>
                <w:rFonts w:hint="eastAsia" w:ascii="宋体" w:hAnsi="宋体" w:eastAsia="宋体" w:cs="宋体"/>
                <w:color w:val="auto"/>
                <w:sz w:val="22"/>
                <w:highlight w:val="none"/>
              </w:rPr>
            </w:pPr>
            <w:r>
              <w:rPr>
                <w:rFonts w:hint="eastAsia" w:ascii="宋体" w:hAnsi="宋体" w:eastAsia="宋体" w:cs="宋体"/>
                <w:color w:val="auto"/>
                <w:sz w:val="22"/>
                <w:highlight w:val="none"/>
              </w:rPr>
              <w:t>3、落实采购政策需满足的资格要求：对符合财政扶持政策的小微企业（或监狱企业、或残疾人福利性单位）给予评标价格折扣。供应商企业属于以上多种性质的，不重复享受扶持政策。</w:t>
            </w:r>
          </w:p>
          <w:p w14:paraId="22F41EDE">
            <w:pPr>
              <w:adjustRightInd w:val="0"/>
              <w:rPr>
                <w:rFonts w:hint="eastAsia" w:ascii="宋体" w:hAnsi="宋体" w:eastAsia="宋体" w:cs="宋体"/>
                <w:color w:val="auto"/>
                <w:sz w:val="22"/>
                <w:highlight w:val="none"/>
              </w:rPr>
            </w:pPr>
            <w:r>
              <w:rPr>
                <w:rFonts w:hint="eastAsia" w:ascii="宋体" w:hAnsi="宋体" w:eastAsia="宋体" w:cs="宋体"/>
                <w:color w:val="auto"/>
                <w:sz w:val="22"/>
                <w:highlight w:val="none"/>
              </w:rPr>
              <w:t>4、本项目不接受联合体投标；</w:t>
            </w:r>
          </w:p>
          <w:p w14:paraId="37FEDBA3">
            <w:pPr>
              <w:adjustRightInd w:val="0"/>
              <w:rPr>
                <w:rFonts w:hint="eastAsia" w:ascii="宋体" w:hAnsi="宋体" w:eastAsia="宋体" w:cs="宋体"/>
                <w:color w:val="auto"/>
                <w:sz w:val="22"/>
                <w:highlight w:val="none"/>
              </w:rPr>
            </w:pPr>
            <w:r>
              <w:rPr>
                <w:rFonts w:hint="eastAsia" w:ascii="宋体" w:hAnsi="宋体" w:eastAsia="宋体" w:cs="宋体"/>
                <w:color w:val="auto"/>
                <w:sz w:val="22"/>
                <w:highlight w:val="none"/>
              </w:rPr>
              <w:t>5、本项目不允许转包、分包。</w:t>
            </w:r>
          </w:p>
          <w:p w14:paraId="1BA4779C">
            <w:pPr>
              <w:adjustRightInd w:val="0"/>
              <w:rPr>
                <w:rFonts w:hint="eastAsia" w:ascii="宋体" w:hAnsi="宋体" w:eastAsia="宋体" w:cs="宋体"/>
                <w:color w:val="auto"/>
                <w:sz w:val="22"/>
                <w:highlight w:val="none"/>
              </w:rPr>
            </w:pPr>
            <w:r>
              <w:rPr>
                <w:rFonts w:hint="eastAsia" w:ascii="宋体" w:hAnsi="宋体" w:eastAsia="宋体" w:cs="宋体"/>
                <w:color w:val="auto"/>
                <w:sz w:val="22"/>
                <w:highlight w:val="none"/>
              </w:rPr>
              <w:t>6、法律、行政法规规定的其他条件。</w:t>
            </w:r>
          </w:p>
        </w:tc>
      </w:tr>
      <w:tr w14:paraId="2E9E41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751" w:type="dxa"/>
            <w:tcBorders>
              <w:top w:val="single" w:color="auto" w:sz="4" w:space="0"/>
              <w:left w:val="single" w:color="auto" w:sz="12" w:space="0"/>
              <w:right w:val="single" w:color="auto" w:sz="4" w:space="0"/>
            </w:tcBorders>
            <w:vAlign w:val="center"/>
          </w:tcPr>
          <w:p w14:paraId="6BE385A5">
            <w:pPr>
              <w:widowControl/>
              <w:numPr>
                <w:ilvl w:val="0"/>
                <w:numId w:val="2"/>
              </w:numPr>
              <w:tabs>
                <w:tab w:val="left" w:pos="432"/>
              </w:tabs>
              <w:ind w:left="420" w:hanging="420"/>
              <w:jc w:val="center"/>
              <w:rPr>
                <w:rFonts w:hint="eastAsia" w:ascii="宋体" w:hAnsi="宋体" w:eastAsia="宋体" w:cs="宋体"/>
                <w:color w:val="auto"/>
                <w:sz w:val="22"/>
                <w:highlight w:val="none"/>
              </w:rPr>
            </w:pPr>
          </w:p>
        </w:tc>
        <w:tc>
          <w:tcPr>
            <w:tcW w:w="1620" w:type="dxa"/>
            <w:tcBorders>
              <w:top w:val="single" w:color="auto" w:sz="4" w:space="0"/>
              <w:left w:val="single" w:color="auto" w:sz="4" w:space="0"/>
              <w:right w:val="single" w:color="auto" w:sz="4" w:space="0"/>
            </w:tcBorders>
            <w:vAlign w:val="center"/>
          </w:tcPr>
          <w:p w14:paraId="38BD252B">
            <w:pPr>
              <w:adjustRightIn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是否接受联合体投标</w:t>
            </w:r>
          </w:p>
        </w:tc>
        <w:tc>
          <w:tcPr>
            <w:tcW w:w="7800" w:type="dxa"/>
            <w:tcBorders>
              <w:top w:val="single" w:color="auto" w:sz="4" w:space="0"/>
              <w:left w:val="single" w:color="auto" w:sz="4" w:space="0"/>
              <w:right w:val="single" w:color="auto" w:sz="12" w:space="0"/>
            </w:tcBorders>
            <w:vAlign w:val="center"/>
          </w:tcPr>
          <w:p w14:paraId="644A043E">
            <w:pPr>
              <w:adjustRightInd w:val="0"/>
              <w:rPr>
                <w:rFonts w:hint="eastAsia" w:ascii="宋体" w:hAnsi="宋体" w:eastAsia="宋体" w:cs="宋体"/>
                <w:color w:val="auto"/>
                <w:sz w:val="22"/>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eq \o\ac(□,√)</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2"/>
                <w:highlight w:val="none"/>
              </w:rPr>
              <w:t>不接受</w:t>
            </w:r>
          </w:p>
          <w:p w14:paraId="2F1DC9F3">
            <w:pPr>
              <w:adjustRightInd w:val="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□接受 </w:t>
            </w:r>
          </w:p>
        </w:tc>
      </w:tr>
      <w:tr w14:paraId="171D92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751" w:type="dxa"/>
            <w:tcBorders>
              <w:top w:val="single" w:color="auto" w:sz="4" w:space="0"/>
              <w:left w:val="single" w:color="auto" w:sz="12" w:space="0"/>
              <w:right w:val="single" w:color="auto" w:sz="4" w:space="0"/>
            </w:tcBorders>
            <w:vAlign w:val="center"/>
          </w:tcPr>
          <w:p w14:paraId="4370610A">
            <w:pPr>
              <w:widowControl/>
              <w:numPr>
                <w:ilvl w:val="0"/>
                <w:numId w:val="2"/>
              </w:numPr>
              <w:tabs>
                <w:tab w:val="left" w:pos="432"/>
              </w:tabs>
              <w:ind w:left="420" w:hanging="420"/>
              <w:jc w:val="center"/>
              <w:rPr>
                <w:rFonts w:hint="eastAsia" w:ascii="宋体" w:hAnsi="宋体" w:eastAsia="宋体" w:cs="宋体"/>
                <w:color w:val="auto"/>
                <w:sz w:val="22"/>
                <w:highlight w:val="none"/>
              </w:rPr>
            </w:pPr>
          </w:p>
        </w:tc>
        <w:tc>
          <w:tcPr>
            <w:tcW w:w="1620" w:type="dxa"/>
            <w:tcBorders>
              <w:top w:val="single" w:color="auto" w:sz="4" w:space="0"/>
              <w:left w:val="single" w:color="auto" w:sz="4" w:space="0"/>
              <w:right w:val="single" w:color="auto" w:sz="4" w:space="0"/>
            </w:tcBorders>
            <w:vAlign w:val="center"/>
          </w:tcPr>
          <w:p w14:paraId="2DD266E2">
            <w:pPr>
              <w:adjustRightIn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踏勘现场</w:t>
            </w:r>
          </w:p>
        </w:tc>
        <w:tc>
          <w:tcPr>
            <w:tcW w:w="7800" w:type="dxa"/>
            <w:tcBorders>
              <w:top w:val="single" w:color="auto" w:sz="4" w:space="0"/>
              <w:left w:val="single" w:color="auto" w:sz="4" w:space="0"/>
              <w:right w:val="single" w:color="auto" w:sz="12" w:space="0"/>
            </w:tcBorders>
            <w:vAlign w:val="center"/>
          </w:tcPr>
          <w:p w14:paraId="24B39609">
            <w:pPr>
              <w:adjustRightInd w:val="0"/>
              <w:rPr>
                <w:rFonts w:hint="eastAsia" w:ascii="宋体" w:hAnsi="宋体" w:eastAsia="宋体" w:cs="宋体"/>
                <w:color w:val="auto"/>
                <w:sz w:val="22"/>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eq \o\ac(□,√)</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2"/>
                <w:highlight w:val="none"/>
              </w:rPr>
              <w:t>不组织</w:t>
            </w:r>
          </w:p>
          <w:p w14:paraId="17F582C4">
            <w:pPr>
              <w:adjustRightInd w:val="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□组织   </w:t>
            </w:r>
          </w:p>
        </w:tc>
      </w:tr>
      <w:tr w14:paraId="69C022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751" w:type="dxa"/>
            <w:tcBorders>
              <w:top w:val="single" w:color="auto" w:sz="4" w:space="0"/>
              <w:left w:val="single" w:color="auto" w:sz="12" w:space="0"/>
              <w:right w:val="single" w:color="auto" w:sz="4" w:space="0"/>
            </w:tcBorders>
            <w:vAlign w:val="center"/>
          </w:tcPr>
          <w:p w14:paraId="5B93507B">
            <w:pPr>
              <w:widowControl/>
              <w:numPr>
                <w:ilvl w:val="0"/>
                <w:numId w:val="2"/>
              </w:numPr>
              <w:tabs>
                <w:tab w:val="left" w:pos="432"/>
              </w:tabs>
              <w:ind w:left="420" w:hanging="420"/>
              <w:jc w:val="center"/>
              <w:rPr>
                <w:rFonts w:hint="eastAsia" w:ascii="宋体" w:hAnsi="宋体" w:eastAsia="宋体" w:cs="宋体"/>
                <w:color w:val="auto"/>
                <w:sz w:val="22"/>
                <w:highlight w:val="none"/>
              </w:rPr>
            </w:pPr>
          </w:p>
        </w:tc>
        <w:tc>
          <w:tcPr>
            <w:tcW w:w="1620" w:type="dxa"/>
            <w:tcBorders>
              <w:top w:val="single" w:color="auto" w:sz="4" w:space="0"/>
              <w:left w:val="single" w:color="auto" w:sz="4" w:space="0"/>
              <w:right w:val="single" w:color="auto" w:sz="4" w:space="0"/>
            </w:tcBorders>
            <w:vAlign w:val="center"/>
          </w:tcPr>
          <w:p w14:paraId="3428D03B">
            <w:pPr>
              <w:adjustRightIn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是否允许递交备选投标方案</w:t>
            </w:r>
          </w:p>
        </w:tc>
        <w:tc>
          <w:tcPr>
            <w:tcW w:w="7800" w:type="dxa"/>
            <w:tcBorders>
              <w:top w:val="single" w:color="auto" w:sz="4" w:space="0"/>
              <w:left w:val="single" w:color="auto" w:sz="4" w:space="0"/>
              <w:right w:val="single" w:color="auto" w:sz="12" w:space="0"/>
            </w:tcBorders>
            <w:vAlign w:val="center"/>
          </w:tcPr>
          <w:p w14:paraId="608B1650">
            <w:pPr>
              <w:adjustRightInd w:val="0"/>
              <w:rPr>
                <w:rFonts w:hint="eastAsia" w:ascii="宋体" w:hAnsi="宋体" w:eastAsia="宋体" w:cs="宋体"/>
                <w:color w:val="auto"/>
                <w:sz w:val="22"/>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eq \o\ac(□,√)</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2"/>
                <w:highlight w:val="none"/>
              </w:rPr>
              <w:t xml:space="preserve"> 不允许</w:t>
            </w:r>
          </w:p>
          <w:p w14:paraId="048424B1">
            <w:pPr>
              <w:adjustRightInd w:val="0"/>
              <w:rPr>
                <w:rFonts w:hint="eastAsia" w:ascii="宋体" w:hAnsi="宋体" w:eastAsia="宋体" w:cs="宋体"/>
                <w:color w:val="auto"/>
                <w:sz w:val="22"/>
                <w:highlight w:val="none"/>
              </w:rPr>
            </w:pPr>
            <w:r>
              <w:rPr>
                <w:rFonts w:hint="eastAsia" w:ascii="宋体" w:hAnsi="宋体" w:eastAsia="宋体" w:cs="宋体"/>
                <w:color w:val="auto"/>
                <w:sz w:val="22"/>
                <w:highlight w:val="none"/>
              </w:rPr>
              <w:t>□ 允许</w:t>
            </w:r>
          </w:p>
        </w:tc>
      </w:tr>
      <w:tr w14:paraId="121955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751" w:type="dxa"/>
            <w:tcBorders>
              <w:top w:val="single" w:color="auto" w:sz="4" w:space="0"/>
              <w:left w:val="single" w:color="auto" w:sz="12" w:space="0"/>
              <w:right w:val="single" w:color="auto" w:sz="4" w:space="0"/>
            </w:tcBorders>
            <w:vAlign w:val="center"/>
          </w:tcPr>
          <w:p w14:paraId="5CF5B28E">
            <w:pPr>
              <w:widowControl/>
              <w:numPr>
                <w:ilvl w:val="0"/>
                <w:numId w:val="2"/>
              </w:numPr>
              <w:tabs>
                <w:tab w:val="left" w:pos="432"/>
              </w:tabs>
              <w:ind w:left="420" w:hanging="420"/>
              <w:jc w:val="center"/>
              <w:rPr>
                <w:rFonts w:hint="eastAsia" w:ascii="宋体" w:hAnsi="宋体" w:eastAsia="宋体" w:cs="宋体"/>
                <w:color w:val="auto"/>
                <w:sz w:val="22"/>
                <w:highlight w:val="none"/>
              </w:rPr>
            </w:pPr>
          </w:p>
        </w:tc>
        <w:tc>
          <w:tcPr>
            <w:tcW w:w="1620" w:type="dxa"/>
            <w:tcBorders>
              <w:top w:val="single" w:color="auto" w:sz="4" w:space="0"/>
              <w:left w:val="single" w:color="auto" w:sz="4" w:space="0"/>
              <w:right w:val="single" w:color="auto" w:sz="4" w:space="0"/>
            </w:tcBorders>
            <w:vAlign w:val="center"/>
          </w:tcPr>
          <w:p w14:paraId="0C14C4E0">
            <w:pPr>
              <w:adjustRightIn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投标货币</w:t>
            </w:r>
          </w:p>
        </w:tc>
        <w:tc>
          <w:tcPr>
            <w:tcW w:w="7800" w:type="dxa"/>
            <w:tcBorders>
              <w:top w:val="single" w:color="auto" w:sz="4" w:space="0"/>
              <w:left w:val="single" w:color="auto" w:sz="4" w:space="0"/>
              <w:right w:val="single" w:color="auto" w:sz="12" w:space="0"/>
            </w:tcBorders>
            <w:vAlign w:val="center"/>
          </w:tcPr>
          <w:p w14:paraId="72D2E2E9">
            <w:pPr>
              <w:adjustRightInd w:val="0"/>
              <w:rPr>
                <w:rFonts w:hint="eastAsia" w:ascii="宋体" w:hAnsi="宋体" w:eastAsia="宋体" w:cs="宋体"/>
                <w:color w:val="auto"/>
                <w:sz w:val="22"/>
                <w:highlight w:val="none"/>
              </w:rPr>
            </w:pPr>
            <w:r>
              <w:rPr>
                <w:rFonts w:hint="eastAsia" w:ascii="宋体" w:hAnsi="宋体" w:eastAsia="宋体" w:cs="宋体"/>
                <w:color w:val="auto"/>
                <w:sz w:val="22"/>
                <w:highlight w:val="none"/>
              </w:rPr>
              <w:t>人民币</w:t>
            </w:r>
          </w:p>
        </w:tc>
      </w:tr>
      <w:tr w14:paraId="641C6E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751" w:type="dxa"/>
            <w:tcBorders>
              <w:top w:val="single" w:color="auto" w:sz="4" w:space="0"/>
              <w:left w:val="single" w:color="auto" w:sz="12" w:space="0"/>
              <w:right w:val="single" w:color="auto" w:sz="4" w:space="0"/>
            </w:tcBorders>
            <w:vAlign w:val="center"/>
          </w:tcPr>
          <w:p w14:paraId="1816F83E">
            <w:pPr>
              <w:widowControl/>
              <w:numPr>
                <w:ilvl w:val="0"/>
                <w:numId w:val="2"/>
              </w:numPr>
              <w:tabs>
                <w:tab w:val="left" w:pos="432"/>
              </w:tabs>
              <w:ind w:left="420" w:hanging="420"/>
              <w:jc w:val="center"/>
              <w:rPr>
                <w:rFonts w:hint="eastAsia" w:ascii="宋体" w:hAnsi="宋体" w:eastAsia="宋体" w:cs="宋体"/>
                <w:color w:val="auto"/>
                <w:sz w:val="22"/>
                <w:highlight w:val="none"/>
              </w:rPr>
            </w:pPr>
          </w:p>
        </w:tc>
        <w:tc>
          <w:tcPr>
            <w:tcW w:w="1620" w:type="dxa"/>
            <w:tcBorders>
              <w:top w:val="single" w:color="auto" w:sz="4" w:space="0"/>
              <w:left w:val="single" w:color="auto" w:sz="4" w:space="0"/>
              <w:right w:val="single" w:color="auto" w:sz="4" w:space="0"/>
            </w:tcBorders>
            <w:vAlign w:val="center"/>
          </w:tcPr>
          <w:p w14:paraId="7C820AC2">
            <w:pPr>
              <w:adjustRightIn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投标语言</w:t>
            </w:r>
          </w:p>
        </w:tc>
        <w:tc>
          <w:tcPr>
            <w:tcW w:w="7800" w:type="dxa"/>
            <w:tcBorders>
              <w:top w:val="single" w:color="auto" w:sz="4" w:space="0"/>
              <w:left w:val="single" w:color="auto" w:sz="4" w:space="0"/>
              <w:right w:val="single" w:color="auto" w:sz="12" w:space="0"/>
            </w:tcBorders>
            <w:vAlign w:val="center"/>
          </w:tcPr>
          <w:p w14:paraId="472C07F9">
            <w:pPr>
              <w:adjustRightInd w:val="0"/>
              <w:rPr>
                <w:rFonts w:hint="eastAsia" w:ascii="宋体" w:hAnsi="宋体" w:eastAsia="宋体" w:cs="宋体"/>
                <w:color w:val="auto"/>
                <w:sz w:val="22"/>
                <w:highlight w:val="none"/>
              </w:rPr>
            </w:pPr>
            <w:r>
              <w:rPr>
                <w:rFonts w:hint="eastAsia" w:ascii="宋体" w:hAnsi="宋体" w:eastAsia="宋体" w:cs="宋体"/>
                <w:color w:val="auto"/>
                <w:sz w:val="22"/>
                <w:highlight w:val="none"/>
              </w:rPr>
              <w:t>中文</w:t>
            </w:r>
          </w:p>
        </w:tc>
      </w:tr>
      <w:tr w14:paraId="49B1AC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751" w:type="dxa"/>
            <w:tcBorders>
              <w:top w:val="single" w:color="auto" w:sz="4" w:space="0"/>
              <w:left w:val="single" w:color="auto" w:sz="12" w:space="0"/>
              <w:right w:val="single" w:color="auto" w:sz="4" w:space="0"/>
            </w:tcBorders>
            <w:vAlign w:val="center"/>
          </w:tcPr>
          <w:p w14:paraId="43B5A2A1">
            <w:pPr>
              <w:widowControl/>
              <w:numPr>
                <w:ilvl w:val="0"/>
                <w:numId w:val="2"/>
              </w:numPr>
              <w:tabs>
                <w:tab w:val="left" w:pos="432"/>
              </w:tabs>
              <w:ind w:left="420" w:hanging="420"/>
              <w:jc w:val="center"/>
              <w:rPr>
                <w:rFonts w:hint="eastAsia" w:ascii="宋体" w:hAnsi="宋体" w:eastAsia="宋体" w:cs="宋体"/>
                <w:color w:val="auto"/>
                <w:sz w:val="22"/>
                <w:highlight w:val="none"/>
              </w:rPr>
            </w:pPr>
          </w:p>
        </w:tc>
        <w:tc>
          <w:tcPr>
            <w:tcW w:w="1620" w:type="dxa"/>
            <w:tcBorders>
              <w:top w:val="single" w:color="auto" w:sz="4" w:space="0"/>
              <w:left w:val="single" w:color="auto" w:sz="4" w:space="0"/>
              <w:right w:val="single" w:color="auto" w:sz="4" w:space="0"/>
            </w:tcBorders>
            <w:vAlign w:val="center"/>
          </w:tcPr>
          <w:p w14:paraId="251C72DF">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投标文件份数</w:t>
            </w:r>
          </w:p>
        </w:tc>
        <w:tc>
          <w:tcPr>
            <w:tcW w:w="7800" w:type="dxa"/>
            <w:tcBorders>
              <w:top w:val="single" w:color="auto" w:sz="4" w:space="0"/>
              <w:left w:val="single" w:color="auto" w:sz="4" w:space="0"/>
              <w:right w:val="single" w:color="auto" w:sz="12" w:space="0"/>
            </w:tcBorders>
            <w:vAlign w:val="center"/>
          </w:tcPr>
          <w:p w14:paraId="781935AA">
            <w:pPr>
              <w:pStyle w:val="27"/>
              <w:tabs>
                <w:tab w:val="right" w:leader="dot" w:pos="9118"/>
              </w:tabs>
              <w:rPr>
                <w:rFonts w:hint="eastAsia" w:hAnsi="宋体" w:eastAsia="宋体" w:cs="宋体"/>
                <w:color w:val="auto"/>
                <w:highlight w:val="none"/>
              </w:rPr>
            </w:pPr>
            <w:r>
              <w:rPr>
                <w:rFonts w:hint="eastAsia" w:hAnsi="宋体" w:eastAsia="宋体" w:cs="宋体"/>
                <w:color w:val="auto"/>
                <w:highlight w:val="none"/>
              </w:rPr>
              <w:t>正本1份，副本</w:t>
            </w:r>
            <w:r>
              <w:rPr>
                <w:rFonts w:hint="eastAsia" w:hAnsi="宋体" w:cs="宋体"/>
                <w:color w:val="auto"/>
                <w:highlight w:val="none"/>
                <w:lang w:val="en-US" w:eastAsia="zh-CN"/>
              </w:rPr>
              <w:t>4</w:t>
            </w:r>
            <w:r>
              <w:rPr>
                <w:rFonts w:hint="eastAsia" w:hAnsi="宋体" w:eastAsia="宋体" w:cs="宋体"/>
                <w:color w:val="auto"/>
                <w:highlight w:val="none"/>
              </w:rPr>
              <w:t>份。</w:t>
            </w:r>
          </w:p>
        </w:tc>
      </w:tr>
      <w:tr w14:paraId="1B3790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751" w:type="dxa"/>
            <w:tcBorders>
              <w:top w:val="single" w:color="auto" w:sz="4" w:space="0"/>
              <w:left w:val="single" w:color="auto" w:sz="12" w:space="0"/>
              <w:right w:val="single" w:color="auto" w:sz="4" w:space="0"/>
            </w:tcBorders>
            <w:vAlign w:val="center"/>
          </w:tcPr>
          <w:p w14:paraId="270F255C">
            <w:pPr>
              <w:widowControl/>
              <w:numPr>
                <w:ilvl w:val="0"/>
                <w:numId w:val="2"/>
              </w:numPr>
              <w:tabs>
                <w:tab w:val="left" w:pos="432"/>
              </w:tabs>
              <w:ind w:left="420" w:hanging="420"/>
              <w:jc w:val="center"/>
              <w:rPr>
                <w:rFonts w:hint="eastAsia" w:ascii="宋体" w:hAnsi="宋体" w:eastAsia="宋体" w:cs="宋体"/>
                <w:color w:val="auto"/>
                <w:sz w:val="22"/>
                <w:highlight w:val="none"/>
              </w:rPr>
            </w:pPr>
          </w:p>
        </w:tc>
        <w:tc>
          <w:tcPr>
            <w:tcW w:w="1620" w:type="dxa"/>
            <w:tcBorders>
              <w:top w:val="single" w:color="auto" w:sz="4" w:space="0"/>
              <w:left w:val="single" w:color="auto" w:sz="4" w:space="0"/>
              <w:right w:val="single" w:color="auto" w:sz="4" w:space="0"/>
            </w:tcBorders>
            <w:vAlign w:val="center"/>
          </w:tcPr>
          <w:p w14:paraId="6DE172C9">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投标有效期</w:t>
            </w:r>
          </w:p>
        </w:tc>
        <w:tc>
          <w:tcPr>
            <w:tcW w:w="7800" w:type="dxa"/>
            <w:tcBorders>
              <w:top w:val="single" w:color="auto" w:sz="4" w:space="0"/>
              <w:left w:val="single" w:color="auto" w:sz="4" w:space="0"/>
              <w:right w:val="single" w:color="auto" w:sz="12" w:space="0"/>
            </w:tcBorders>
            <w:vAlign w:val="center"/>
          </w:tcPr>
          <w:p w14:paraId="447FA1C0">
            <w:pPr>
              <w:rPr>
                <w:rFonts w:hint="eastAsia" w:ascii="宋体" w:hAnsi="宋体" w:eastAsia="宋体" w:cs="宋体"/>
                <w:color w:val="auto"/>
                <w:sz w:val="22"/>
                <w:highlight w:val="none"/>
              </w:rPr>
            </w:pPr>
            <w:r>
              <w:rPr>
                <w:rFonts w:hint="eastAsia" w:ascii="宋体" w:hAnsi="宋体" w:eastAsia="宋体" w:cs="宋体"/>
                <w:color w:val="auto"/>
                <w:sz w:val="22"/>
                <w:highlight w:val="none"/>
              </w:rPr>
              <w:t>提交投标文件截止时间起90天内</w:t>
            </w:r>
          </w:p>
        </w:tc>
      </w:tr>
      <w:tr w14:paraId="3BD07C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751" w:type="dxa"/>
            <w:tcBorders>
              <w:top w:val="single" w:color="auto" w:sz="4" w:space="0"/>
              <w:left w:val="single" w:color="auto" w:sz="12" w:space="0"/>
              <w:right w:val="single" w:color="auto" w:sz="4" w:space="0"/>
            </w:tcBorders>
            <w:vAlign w:val="center"/>
          </w:tcPr>
          <w:p w14:paraId="2300E3B7">
            <w:pPr>
              <w:widowControl/>
              <w:numPr>
                <w:ilvl w:val="0"/>
                <w:numId w:val="2"/>
              </w:numPr>
              <w:tabs>
                <w:tab w:val="left" w:pos="432"/>
              </w:tabs>
              <w:ind w:left="420" w:hanging="420"/>
              <w:jc w:val="center"/>
              <w:rPr>
                <w:rFonts w:hint="eastAsia" w:ascii="宋体" w:hAnsi="宋体" w:eastAsia="宋体" w:cs="宋体"/>
                <w:color w:val="auto"/>
                <w:sz w:val="22"/>
                <w:highlight w:val="none"/>
              </w:rPr>
            </w:pPr>
          </w:p>
        </w:tc>
        <w:tc>
          <w:tcPr>
            <w:tcW w:w="1620" w:type="dxa"/>
            <w:tcBorders>
              <w:top w:val="single" w:color="auto" w:sz="4" w:space="0"/>
              <w:left w:val="single" w:color="auto" w:sz="4" w:space="0"/>
              <w:right w:val="single" w:color="auto" w:sz="4" w:space="0"/>
            </w:tcBorders>
            <w:vAlign w:val="center"/>
          </w:tcPr>
          <w:p w14:paraId="72E921E3">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签字或盖章要求</w:t>
            </w:r>
          </w:p>
        </w:tc>
        <w:tc>
          <w:tcPr>
            <w:tcW w:w="7800" w:type="dxa"/>
            <w:tcBorders>
              <w:top w:val="single" w:color="auto" w:sz="4" w:space="0"/>
              <w:left w:val="single" w:color="auto" w:sz="4" w:space="0"/>
              <w:right w:val="single" w:color="auto" w:sz="12" w:space="0"/>
            </w:tcBorders>
            <w:vAlign w:val="center"/>
          </w:tcPr>
          <w:p w14:paraId="35186656">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的正本须按招标文件格式要求，由投标供应商加盖单位公章以及法定代表人或其授权代表盖章（或签字）。投标文件中所涉及的公章必须是投标供应商全称的公章，不得使用投标专用章、合同章等类似图章代替。投标文件的副本可以是复印件。</w:t>
            </w:r>
          </w:p>
        </w:tc>
      </w:tr>
      <w:tr w14:paraId="48EA6C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751" w:type="dxa"/>
            <w:tcBorders>
              <w:top w:val="single" w:color="auto" w:sz="4" w:space="0"/>
              <w:left w:val="single" w:color="auto" w:sz="12" w:space="0"/>
              <w:right w:val="single" w:color="auto" w:sz="4" w:space="0"/>
            </w:tcBorders>
            <w:vAlign w:val="center"/>
          </w:tcPr>
          <w:p w14:paraId="6FC4F44A">
            <w:pPr>
              <w:widowControl/>
              <w:numPr>
                <w:ilvl w:val="0"/>
                <w:numId w:val="2"/>
              </w:numPr>
              <w:tabs>
                <w:tab w:val="left" w:pos="432"/>
              </w:tabs>
              <w:ind w:left="420" w:hanging="420"/>
              <w:jc w:val="center"/>
              <w:rPr>
                <w:rFonts w:hint="eastAsia" w:ascii="宋体" w:hAnsi="宋体" w:eastAsia="宋体" w:cs="宋体"/>
                <w:color w:val="auto"/>
                <w:sz w:val="22"/>
                <w:highlight w:val="none"/>
              </w:rPr>
            </w:pPr>
          </w:p>
        </w:tc>
        <w:tc>
          <w:tcPr>
            <w:tcW w:w="1620" w:type="dxa"/>
            <w:tcBorders>
              <w:top w:val="single" w:color="auto" w:sz="4" w:space="0"/>
              <w:left w:val="single" w:color="auto" w:sz="4" w:space="0"/>
              <w:right w:val="single" w:color="auto" w:sz="4" w:space="0"/>
            </w:tcBorders>
            <w:vAlign w:val="center"/>
          </w:tcPr>
          <w:p w14:paraId="6321F2BE">
            <w:pPr>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密封、装订要求</w:t>
            </w:r>
          </w:p>
        </w:tc>
        <w:tc>
          <w:tcPr>
            <w:tcW w:w="7800" w:type="dxa"/>
            <w:tcBorders>
              <w:top w:val="single" w:color="auto" w:sz="4" w:space="0"/>
              <w:left w:val="single" w:color="auto" w:sz="4" w:space="0"/>
              <w:right w:val="single" w:color="auto" w:sz="12" w:space="0"/>
            </w:tcBorders>
            <w:vAlign w:val="center"/>
          </w:tcPr>
          <w:p w14:paraId="46546E54">
            <w:pPr>
              <w:spacing w:line="400" w:lineRule="exact"/>
              <w:jc w:val="left"/>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rPr>
              <w:t>投标文件商务报价部分和技术资信部分须分别装订成册，且分别</w:t>
            </w:r>
            <w:r>
              <w:rPr>
                <w:rFonts w:hint="eastAsia" w:ascii="宋体" w:hAnsi="宋体" w:cs="宋体"/>
                <w:color w:val="auto"/>
                <w:sz w:val="22"/>
                <w:highlight w:val="none"/>
                <w:lang w:val="en-US" w:eastAsia="zh-CN"/>
              </w:rPr>
              <w:t>包装</w:t>
            </w:r>
            <w:r>
              <w:rPr>
                <w:rFonts w:hint="eastAsia" w:ascii="宋体" w:hAnsi="宋体" w:eastAsia="宋体" w:cs="宋体"/>
                <w:color w:val="auto"/>
                <w:sz w:val="22"/>
                <w:highlight w:val="none"/>
              </w:rPr>
              <w:t>密封。</w:t>
            </w:r>
            <w:r>
              <w:rPr>
                <w:rFonts w:hint="eastAsia" w:ascii="宋体" w:hAnsi="宋体" w:cs="宋体"/>
                <w:sz w:val="22"/>
                <w:szCs w:val="22"/>
                <w:highlight w:val="none"/>
              </w:rPr>
              <w:t>包装应有投标供应商公章及法定代表人或其授权代表签字</w:t>
            </w:r>
            <w:r>
              <w:rPr>
                <w:rFonts w:hint="eastAsia" w:ascii="宋体" w:hAnsi="宋体" w:eastAsia="宋体" w:cs="宋体"/>
                <w:color w:val="auto"/>
                <w:sz w:val="22"/>
                <w:highlight w:val="none"/>
              </w:rPr>
              <w:t>。如投标文件的商务报价文件与技术资信部分投标文件未分开制作与包装或未密封，投标文件将被拒绝接收。</w:t>
            </w:r>
          </w:p>
        </w:tc>
      </w:tr>
      <w:tr w14:paraId="3EA0AF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751" w:type="dxa"/>
            <w:tcBorders>
              <w:top w:val="single" w:color="auto" w:sz="4" w:space="0"/>
              <w:left w:val="single" w:color="auto" w:sz="12" w:space="0"/>
              <w:right w:val="single" w:color="auto" w:sz="4" w:space="0"/>
            </w:tcBorders>
            <w:vAlign w:val="center"/>
          </w:tcPr>
          <w:p w14:paraId="1CEF5751">
            <w:pPr>
              <w:widowControl/>
              <w:numPr>
                <w:ilvl w:val="0"/>
                <w:numId w:val="2"/>
              </w:numPr>
              <w:tabs>
                <w:tab w:val="left" w:pos="432"/>
              </w:tabs>
              <w:ind w:left="420" w:hanging="420"/>
              <w:jc w:val="center"/>
              <w:rPr>
                <w:rFonts w:hint="eastAsia" w:ascii="宋体" w:hAnsi="宋体" w:eastAsia="宋体" w:cs="宋体"/>
                <w:color w:val="auto"/>
                <w:sz w:val="22"/>
                <w:highlight w:val="none"/>
              </w:rPr>
            </w:pPr>
          </w:p>
        </w:tc>
        <w:tc>
          <w:tcPr>
            <w:tcW w:w="1620" w:type="dxa"/>
            <w:tcBorders>
              <w:top w:val="single" w:color="auto" w:sz="4" w:space="0"/>
              <w:left w:val="single" w:color="auto" w:sz="4" w:space="0"/>
              <w:right w:val="single" w:color="auto" w:sz="4" w:space="0"/>
            </w:tcBorders>
            <w:vAlign w:val="center"/>
          </w:tcPr>
          <w:p w14:paraId="01D67A3C">
            <w:pPr>
              <w:adjustRightIn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投标样品</w:t>
            </w:r>
          </w:p>
        </w:tc>
        <w:tc>
          <w:tcPr>
            <w:tcW w:w="7800" w:type="dxa"/>
            <w:tcBorders>
              <w:top w:val="single" w:color="auto" w:sz="4" w:space="0"/>
              <w:left w:val="single" w:color="auto" w:sz="4" w:space="0"/>
              <w:right w:val="single" w:color="auto" w:sz="12" w:space="0"/>
            </w:tcBorders>
            <w:vAlign w:val="center"/>
          </w:tcPr>
          <w:p w14:paraId="015FFFE2">
            <w:pPr>
              <w:adjustRightInd w:val="0"/>
              <w:rPr>
                <w:rFonts w:hint="eastAsia" w:ascii="宋体" w:hAnsi="宋体" w:eastAsia="宋体" w:cs="宋体"/>
                <w:color w:val="auto"/>
                <w:sz w:val="22"/>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2"/>
                <w:highlight w:val="none"/>
              </w:rPr>
              <w:t>不需要</w:t>
            </w:r>
          </w:p>
          <w:p w14:paraId="1FB26210">
            <w:pPr>
              <w:adjustRightInd w:val="0"/>
              <w:rPr>
                <w:rFonts w:hint="eastAsia" w:ascii="宋体" w:hAnsi="宋体" w:eastAsia="宋体" w:cs="宋体"/>
                <w:color w:val="auto"/>
                <w:sz w:val="22"/>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eq \o\ac(□)</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2"/>
                <w:highlight w:val="none"/>
              </w:rPr>
              <w:t>需要</w:t>
            </w:r>
          </w:p>
        </w:tc>
      </w:tr>
      <w:tr w14:paraId="698BC5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751" w:type="dxa"/>
            <w:tcBorders>
              <w:top w:val="single" w:color="auto" w:sz="4" w:space="0"/>
              <w:left w:val="single" w:color="auto" w:sz="12" w:space="0"/>
              <w:right w:val="single" w:color="auto" w:sz="4" w:space="0"/>
            </w:tcBorders>
            <w:vAlign w:val="center"/>
          </w:tcPr>
          <w:p w14:paraId="196C8668">
            <w:pPr>
              <w:widowControl/>
              <w:numPr>
                <w:ilvl w:val="0"/>
                <w:numId w:val="2"/>
              </w:numPr>
              <w:tabs>
                <w:tab w:val="left" w:pos="432"/>
              </w:tabs>
              <w:ind w:left="420" w:hanging="420"/>
              <w:jc w:val="center"/>
              <w:rPr>
                <w:rFonts w:hint="eastAsia" w:ascii="宋体" w:hAnsi="宋体" w:eastAsia="宋体" w:cs="宋体"/>
                <w:color w:val="auto"/>
                <w:sz w:val="22"/>
                <w:highlight w:val="none"/>
              </w:rPr>
            </w:pPr>
          </w:p>
        </w:tc>
        <w:tc>
          <w:tcPr>
            <w:tcW w:w="1620" w:type="dxa"/>
            <w:tcBorders>
              <w:top w:val="single" w:color="auto" w:sz="4" w:space="0"/>
              <w:left w:val="single" w:color="auto" w:sz="4" w:space="0"/>
              <w:right w:val="single" w:color="auto" w:sz="4" w:space="0"/>
            </w:tcBorders>
            <w:vAlign w:val="center"/>
          </w:tcPr>
          <w:p w14:paraId="37EF3C58">
            <w:pPr>
              <w:adjustRightIn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履约担保</w:t>
            </w:r>
          </w:p>
        </w:tc>
        <w:tc>
          <w:tcPr>
            <w:tcW w:w="7800" w:type="dxa"/>
            <w:tcBorders>
              <w:top w:val="single" w:color="auto" w:sz="4" w:space="0"/>
              <w:left w:val="single" w:color="auto" w:sz="4" w:space="0"/>
              <w:right w:val="single" w:color="auto" w:sz="12" w:space="0"/>
            </w:tcBorders>
            <w:vAlign w:val="center"/>
          </w:tcPr>
          <w:p w14:paraId="3F4EFD5A">
            <w:pPr>
              <w:adjustRightInd w:val="0"/>
              <w:rPr>
                <w:rFonts w:hint="eastAsia" w:ascii="宋体" w:hAnsi="宋体" w:eastAsia="宋体" w:cs="宋体"/>
                <w:color w:val="auto"/>
                <w:sz w:val="22"/>
                <w:highlight w:val="none"/>
              </w:rPr>
            </w:pPr>
            <w:r>
              <w:rPr>
                <w:rFonts w:hint="eastAsia" w:ascii="宋体" w:hAnsi="宋体" w:eastAsia="宋体" w:cs="宋体"/>
                <w:color w:val="auto"/>
                <w:sz w:val="22"/>
                <w:highlight w:val="none"/>
              </w:rPr>
              <w:t>□不需要</w:t>
            </w:r>
          </w:p>
          <w:p w14:paraId="5528020C">
            <w:pPr>
              <w:widowControl/>
              <w:autoSpaceDE w:val="0"/>
              <w:autoSpaceDN w:val="0"/>
              <w:adjustRightInd w:val="0"/>
              <w:spacing w:line="400" w:lineRule="exact"/>
              <w:textAlignment w:val="bottom"/>
              <w:rPr>
                <w:rFonts w:hint="eastAsia" w:ascii="宋体" w:hAnsi="宋体" w:eastAsia="宋体" w:cs="宋体"/>
                <w:color w:val="auto"/>
                <w:sz w:val="22"/>
                <w:highlight w:val="none"/>
                <w:lang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eq \o\ac(□,√)</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2"/>
                <w:highlight w:val="none"/>
              </w:rPr>
              <w:t>需要。</w:t>
            </w:r>
            <w:r>
              <w:rPr>
                <w:rFonts w:hint="eastAsia" w:ascii="宋体" w:cs="黑体"/>
                <w:color w:val="auto"/>
                <w:sz w:val="22"/>
                <w:szCs w:val="24"/>
                <w:highlight w:val="none"/>
                <w:lang w:eastAsia="zh-CN"/>
              </w:rPr>
              <w:t>合同签订后7日历天内，</w:t>
            </w:r>
            <w:r>
              <w:rPr>
                <w:rFonts w:hint="eastAsia" w:ascii="宋体" w:cs="黑体"/>
                <w:color w:val="auto"/>
                <w:sz w:val="22"/>
                <w:szCs w:val="24"/>
                <w:highlight w:val="none"/>
                <w:lang w:val="en-US" w:eastAsia="zh-CN"/>
              </w:rPr>
              <w:t>中标供应商</w:t>
            </w:r>
            <w:r>
              <w:rPr>
                <w:rFonts w:hint="eastAsia" w:ascii="宋体" w:cs="黑体"/>
                <w:color w:val="auto"/>
                <w:sz w:val="22"/>
                <w:szCs w:val="24"/>
                <w:highlight w:val="none"/>
                <w:lang w:eastAsia="zh-CN"/>
              </w:rPr>
              <w:t>应提供合同总金额1%的履约保证金。供应商以银行、保险公司出具保函形式提交履约保证金的，采购人不得拒收。</w:t>
            </w:r>
            <w:r>
              <w:rPr>
                <w:rFonts w:hint="eastAsia" w:ascii="宋体" w:hAnsi="宋体" w:cs="宋体"/>
                <w:color w:val="auto"/>
                <w:sz w:val="22"/>
                <w:highlight w:val="none"/>
                <w:lang w:eastAsia="zh-CN"/>
              </w:rPr>
              <w:t xml:space="preserve"> </w:t>
            </w:r>
          </w:p>
        </w:tc>
      </w:tr>
      <w:tr w14:paraId="41BB12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751" w:type="dxa"/>
            <w:tcBorders>
              <w:top w:val="single" w:color="auto" w:sz="4" w:space="0"/>
              <w:left w:val="single" w:color="auto" w:sz="12" w:space="0"/>
              <w:right w:val="single" w:color="auto" w:sz="4" w:space="0"/>
            </w:tcBorders>
            <w:vAlign w:val="center"/>
          </w:tcPr>
          <w:p w14:paraId="3169C831">
            <w:pPr>
              <w:widowControl/>
              <w:numPr>
                <w:ilvl w:val="0"/>
                <w:numId w:val="2"/>
              </w:numPr>
              <w:tabs>
                <w:tab w:val="left" w:pos="432"/>
              </w:tabs>
              <w:ind w:left="420" w:hanging="420"/>
              <w:jc w:val="center"/>
              <w:rPr>
                <w:rFonts w:hint="eastAsia" w:ascii="宋体" w:hAnsi="宋体" w:eastAsia="宋体" w:cs="宋体"/>
                <w:color w:val="auto"/>
                <w:sz w:val="22"/>
                <w:highlight w:val="none"/>
              </w:rPr>
            </w:pPr>
          </w:p>
        </w:tc>
        <w:tc>
          <w:tcPr>
            <w:tcW w:w="1620" w:type="dxa"/>
            <w:tcBorders>
              <w:top w:val="single" w:color="auto" w:sz="4" w:space="0"/>
              <w:left w:val="single" w:color="auto" w:sz="4" w:space="0"/>
              <w:right w:val="single" w:color="auto" w:sz="4" w:space="0"/>
            </w:tcBorders>
            <w:vAlign w:val="center"/>
          </w:tcPr>
          <w:p w14:paraId="6859D879">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招标文件获取方式</w:t>
            </w:r>
          </w:p>
        </w:tc>
        <w:tc>
          <w:tcPr>
            <w:tcW w:w="7800" w:type="dxa"/>
            <w:tcBorders>
              <w:top w:val="single" w:color="auto" w:sz="4" w:space="0"/>
              <w:left w:val="single" w:color="auto" w:sz="4" w:space="0"/>
              <w:right w:val="single" w:color="auto" w:sz="12" w:space="0"/>
            </w:tcBorders>
            <w:vAlign w:val="center"/>
          </w:tcPr>
          <w:p w14:paraId="0B341F36">
            <w:pPr>
              <w:adjustRightInd w:val="0"/>
              <w:spacing w:line="2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在</w:t>
            </w:r>
            <w:r>
              <w:rPr>
                <w:rFonts w:hint="eastAsia" w:ascii="宋体" w:hAnsi="宋体" w:cs="宋体"/>
                <w:color w:val="auto"/>
                <w:sz w:val="22"/>
                <w:highlight w:val="none"/>
                <w:lang w:eastAsia="zh-CN"/>
              </w:rPr>
              <w:t>泰顺县人民政府网县公共资源交易平台（http://www.ts.gov.cn/col/col1383420/index.html）</w:t>
            </w:r>
            <w:r>
              <w:rPr>
                <w:rFonts w:hint="eastAsia" w:ascii="宋体" w:hAnsi="宋体" w:eastAsia="宋体" w:cs="宋体"/>
                <w:color w:val="auto"/>
                <w:sz w:val="22"/>
                <w:highlight w:val="none"/>
              </w:rPr>
              <w:t>直接下载招标文件。</w:t>
            </w:r>
          </w:p>
        </w:tc>
      </w:tr>
      <w:tr w14:paraId="0DF81C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751" w:type="dxa"/>
            <w:tcBorders>
              <w:top w:val="single" w:color="auto" w:sz="4" w:space="0"/>
              <w:left w:val="single" w:color="auto" w:sz="12" w:space="0"/>
              <w:right w:val="single" w:color="auto" w:sz="4" w:space="0"/>
            </w:tcBorders>
            <w:vAlign w:val="center"/>
          </w:tcPr>
          <w:p w14:paraId="53F6DC78">
            <w:pPr>
              <w:widowControl/>
              <w:numPr>
                <w:ilvl w:val="0"/>
                <w:numId w:val="2"/>
              </w:numPr>
              <w:tabs>
                <w:tab w:val="left" w:pos="432"/>
              </w:tabs>
              <w:ind w:left="420" w:hanging="420"/>
              <w:jc w:val="center"/>
              <w:rPr>
                <w:rFonts w:hint="eastAsia" w:ascii="宋体" w:hAnsi="宋体" w:eastAsia="宋体" w:cs="宋体"/>
                <w:color w:val="auto"/>
                <w:sz w:val="22"/>
                <w:highlight w:val="none"/>
              </w:rPr>
            </w:pPr>
          </w:p>
        </w:tc>
        <w:tc>
          <w:tcPr>
            <w:tcW w:w="1620" w:type="dxa"/>
            <w:tcBorders>
              <w:top w:val="single" w:color="auto" w:sz="4" w:space="0"/>
              <w:left w:val="single" w:color="auto" w:sz="4" w:space="0"/>
              <w:right w:val="single" w:color="auto" w:sz="4" w:space="0"/>
            </w:tcBorders>
            <w:vAlign w:val="center"/>
          </w:tcPr>
          <w:p w14:paraId="7FEFD232">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投标截止时间</w:t>
            </w:r>
          </w:p>
        </w:tc>
        <w:tc>
          <w:tcPr>
            <w:tcW w:w="7800" w:type="dxa"/>
            <w:tcBorders>
              <w:top w:val="single" w:color="auto" w:sz="4" w:space="0"/>
              <w:left w:val="single" w:color="auto" w:sz="4" w:space="0"/>
              <w:right w:val="single" w:color="auto" w:sz="12" w:space="0"/>
            </w:tcBorders>
            <w:vAlign w:val="center"/>
          </w:tcPr>
          <w:p w14:paraId="3DB03C41">
            <w:pPr>
              <w:rPr>
                <w:rFonts w:hint="eastAsia" w:ascii="宋体" w:hAnsi="宋体" w:eastAsia="宋体" w:cs="宋体"/>
                <w:color w:val="auto"/>
                <w:sz w:val="22"/>
                <w:highlight w:val="none"/>
              </w:rPr>
            </w:pPr>
            <w:r>
              <w:rPr>
                <w:rFonts w:hint="eastAsia" w:ascii="宋体" w:hAnsi="宋体" w:cs="宋体"/>
                <w:b/>
                <w:bCs/>
                <w:color w:val="auto"/>
                <w:sz w:val="22"/>
                <w:highlight w:val="none"/>
                <w:lang w:eastAsia="zh-CN"/>
              </w:rPr>
              <w:t>2026年2月6日15:00时</w:t>
            </w:r>
            <w:r>
              <w:rPr>
                <w:rFonts w:hint="eastAsia" w:ascii="宋体" w:hAnsi="宋体" w:eastAsia="宋体" w:cs="宋体"/>
                <w:color w:val="auto"/>
                <w:sz w:val="22"/>
                <w:highlight w:val="none"/>
              </w:rPr>
              <w:t>截止(北京时间)。</w:t>
            </w:r>
          </w:p>
        </w:tc>
      </w:tr>
      <w:tr w14:paraId="23088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751" w:type="dxa"/>
            <w:tcBorders>
              <w:top w:val="single" w:color="auto" w:sz="4" w:space="0"/>
              <w:left w:val="single" w:color="auto" w:sz="12" w:space="0"/>
              <w:right w:val="single" w:color="auto" w:sz="4" w:space="0"/>
            </w:tcBorders>
            <w:vAlign w:val="center"/>
          </w:tcPr>
          <w:p w14:paraId="2C06AF05">
            <w:pPr>
              <w:widowControl/>
              <w:numPr>
                <w:ilvl w:val="0"/>
                <w:numId w:val="2"/>
              </w:numPr>
              <w:tabs>
                <w:tab w:val="left" w:pos="432"/>
              </w:tabs>
              <w:ind w:left="420" w:hanging="420"/>
              <w:jc w:val="center"/>
              <w:rPr>
                <w:rFonts w:hint="eastAsia" w:ascii="宋体" w:hAnsi="宋体" w:eastAsia="宋体" w:cs="宋体"/>
                <w:color w:val="auto"/>
                <w:sz w:val="22"/>
                <w:highlight w:val="none"/>
              </w:rPr>
            </w:pPr>
          </w:p>
        </w:tc>
        <w:tc>
          <w:tcPr>
            <w:tcW w:w="1620" w:type="dxa"/>
            <w:tcBorders>
              <w:top w:val="single" w:color="auto" w:sz="4" w:space="0"/>
              <w:left w:val="single" w:color="auto" w:sz="4" w:space="0"/>
              <w:right w:val="single" w:color="auto" w:sz="4" w:space="0"/>
            </w:tcBorders>
            <w:vAlign w:val="center"/>
          </w:tcPr>
          <w:p w14:paraId="6EB06C03">
            <w:pPr>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rPr>
              <w:t>投标文件递交</w:t>
            </w:r>
            <w:r>
              <w:rPr>
                <w:rFonts w:hint="eastAsia" w:ascii="宋体" w:hAnsi="宋体" w:cs="宋体"/>
                <w:color w:val="auto"/>
                <w:sz w:val="22"/>
                <w:highlight w:val="none"/>
                <w:lang w:val="en-US" w:eastAsia="zh-CN"/>
              </w:rPr>
              <w:t>截止时间和递交方式</w:t>
            </w:r>
          </w:p>
        </w:tc>
        <w:tc>
          <w:tcPr>
            <w:tcW w:w="7800" w:type="dxa"/>
            <w:tcBorders>
              <w:top w:val="single" w:color="auto" w:sz="4" w:space="0"/>
              <w:left w:val="single" w:color="auto" w:sz="4" w:space="0"/>
              <w:right w:val="single" w:color="auto" w:sz="12" w:space="0"/>
            </w:tcBorders>
            <w:vAlign w:val="center"/>
          </w:tcPr>
          <w:p w14:paraId="5C9DD2CE">
            <w:pPr>
              <w:tabs>
                <w:tab w:val="left" w:pos="360"/>
              </w:tabs>
              <w:spacing w:line="360" w:lineRule="auto"/>
              <w:ind w:firstLine="440" w:firstLineChars="200"/>
              <w:rPr>
                <w:rFonts w:hint="eastAsia" w:ascii="宋体" w:hAnsi="宋体"/>
                <w:b/>
                <w:bCs w:val="0"/>
                <w:color w:val="auto"/>
                <w:kern w:val="0"/>
                <w:sz w:val="22"/>
                <w:highlight w:val="none"/>
              </w:rPr>
            </w:pPr>
            <w:r>
              <w:rPr>
                <w:rFonts w:hint="eastAsia" w:ascii="宋体" w:hAnsi="宋体"/>
                <w:bCs/>
                <w:color w:val="auto"/>
                <w:kern w:val="0"/>
                <w:sz w:val="22"/>
                <w:highlight w:val="none"/>
              </w:rPr>
              <w:t>递交投标文件截止时间：</w:t>
            </w:r>
            <w:r>
              <w:rPr>
                <w:rFonts w:hint="eastAsia" w:ascii="宋体" w:hAnsi="宋体"/>
                <w:b/>
                <w:bCs w:val="0"/>
                <w:color w:val="auto"/>
                <w:kern w:val="0"/>
                <w:sz w:val="22"/>
                <w:highlight w:val="none"/>
                <w:lang w:eastAsia="zh-CN"/>
              </w:rPr>
              <w:t>2026年2月6日15:00时</w:t>
            </w:r>
            <w:r>
              <w:rPr>
                <w:rFonts w:hint="eastAsia" w:ascii="宋体" w:hAnsi="宋体"/>
                <w:b/>
                <w:bCs w:val="0"/>
                <w:color w:val="auto"/>
                <w:kern w:val="0"/>
                <w:sz w:val="22"/>
                <w:highlight w:val="none"/>
              </w:rPr>
              <w:t>（北京时间） </w:t>
            </w:r>
          </w:p>
          <w:p w14:paraId="7210C269">
            <w:pPr>
              <w:tabs>
                <w:tab w:val="left" w:pos="360"/>
              </w:tabs>
              <w:spacing w:line="360" w:lineRule="auto"/>
              <w:ind w:firstLine="442" w:firstLineChars="200"/>
              <w:rPr>
                <w:rFonts w:hint="eastAsia" w:hAnsi="宋体"/>
                <w:b/>
                <w:bCs/>
                <w:color w:val="auto"/>
                <w:sz w:val="22"/>
                <w:szCs w:val="22"/>
                <w:highlight w:val="none"/>
              </w:rPr>
            </w:pPr>
            <w:r>
              <w:rPr>
                <w:rFonts w:hint="eastAsia" w:hAnsi="宋体"/>
                <w:b/>
                <w:bCs/>
                <w:color w:val="auto"/>
                <w:sz w:val="22"/>
                <w:szCs w:val="22"/>
                <w:highlight w:val="none"/>
              </w:rPr>
              <w:t>投标人采用邮寄</w:t>
            </w:r>
            <w:r>
              <w:rPr>
                <w:rFonts w:hint="eastAsia" w:hAnsi="宋体"/>
                <w:b/>
                <w:bCs/>
                <w:color w:val="auto"/>
                <w:sz w:val="22"/>
                <w:szCs w:val="22"/>
                <w:highlight w:val="none"/>
                <w:lang w:val="en-US" w:eastAsia="zh-CN"/>
              </w:rPr>
              <w:t>或现场递交</w:t>
            </w:r>
            <w:r>
              <w:rPr>
                <w:rFonts w:hint="eastAsia" w:hAnsi="宋体"/>
                <w:b/>
                <w:bCs/>
                <w:color w:val="auto"/>
                <w:sz w:val="22"/>
                <w:szCs w:val="22"/>
                <w:highlight w:val="none"/>
              </w:rPr>
              <w:t>的方式递交投标文件。邮寄时须备注项目名称及当面签收确认，否则由此产生的投标文件遗失以及投标文件破损而导致投标无效的风险由投标人自行承担。</w:t>
            </w:r>
          </w:p>
          <w:p w14:paraId="4AAC57AA">
            <w:pPr>
              <w:pStyle w:val="106"/>
              <w:tabs>
                <w:tab w:val="left" w:pos="1313"/>
              </w:tabs>
              <w:adjustRightInd w:val="0"/>
              <w:snapToGrid w:val="0"/>
              <w:spacing w:line="360" w:lineRule="exact"/>
              <w:ind w:firstLine="435" w:firstLineChars="197"/>
              <w:rPr>
                <w:rFonts w:hint="eastAsia" w:hAnsi="宋体"/>
                <w:b/>
                <w:bCs/>
                <w:color w:val="auto"/>
                <w:sz w:val="22"/>
                <w:szCs w:val="22"/>
                <w:highlight w:val="none"/>
              </w:rPr>
            </w:pPr>
            <w:r>
              <w:rPr>
                <w:rFonts w:hint="eastAsia" w:hAnsi="宋体"/>
                <w:b/>
                <w:bCs/>
                <w:color w:val="auto"/>
                <w:sz w:val="22"/>
                <w:szCs w:val="22"/>
                <w:highlight w:val="none"/>
              </w:rPr>
              <w:t>邮寄地址：</w:t>
            </w:r>
            <w:r>
              <w:rPr>
                <w:rFonts w:hint="eastAsia" w:hAnsi="宋体"/>
                <w:b/>
                <w:bCs/>
                <w:color w:val="auto"/>
                <w:sz w:val="22"/>
                <w:szCs w:val="22"/>
                <w:highlight w:val="none"/>
                <w:lang w:eastAsia="zh-CN"/>
              </w:rPr>
              <w:t>泰顺县文祥大道新城旧村改造安置点18号楼1-4号3楼</w:t>
            </w:r>
            <w:r>
              <w:rPr>
                <w:rFonts w:hint="eastAsia" w:hAnsi="宋体"/>
                <w:b/>
                <w:bCs/>
                <w:color w:val="auto"/>
                <w:sz w:val="22"/>
                <w:szCs w:val="22"/>
                <w:highlight w:val="none"/>
              </w:rPr>
              <w:t>（拒绝到付）</w:t>
            </w:r>
          </w:p>
          <w:p w14:paraId="2492005F">
            <w:pPr>
              <w:pStyle w:val="106"/>
              <w:tabs>
                <w:tab w:val="left" w:pos="1313"/>
              </w:tabs>
              <w:adjustRightInd w:val="0"/>
              <w:snapToGrid w:val="0"/>
              <w:spacing w:line="360" w:lineRule="exact"/>
              <w:ind w:firstLine="435" w:firstLineChars="197"/>
              <w:rPr>
                <w:rFonts w:hint="eastAsia" w:hAnsi="宋体"/>
                <w:b/>
                <w:bCs/>
                <w:color w:val="auto"/>
                <w:sz w:val="22"/>
                <w:szCs w:val="22"/>
                <w:highlight w:val="none"/>
              </w:rPr>
            </w:pPr>
            <w:r>
              <w:rPr>
                <w:rFonts w:hint="eastAsia" w:hAnsi="宋体"/>
                <w:b/>
                <w:bCs/>
                <w:color w:val="auto"/>
                <w:sz w:val="22"/>
                <w:szCs w:val="22"/>
                <w:highlight w:val="none"/>
              </w:rPr>
              <w:t>联系人：</w:t>
            </w:r>
            <w:r>
              <w:rPr>
                <w:rFonts w:hint="eastAsia" w:hAnsi="宋体"/>
                <w:b/>
                <w:bCs/>
                <w:color w:val="auto"/>
                <w:sz w:val="22"/>
                <w:szCs w:val="22"/>
                <w:highlight w:val="none"/>
                <w:lang w:val="en-US" w:eastAsia="zh-CN"/>
              </w:rPr>
              <w:t xml:space="preserve">朱先生        </w:t>
            </w:r>
            <w:r>
              <w:rPr>
                <w:rFonts w:hint="eastAsia" w:hAnsi="宋体"/>
                <w:b/>
                <w:bCs/>
                <w:color w:val="auto"/>
                <w:sz w:val="22"/>
                <w:szCs w:val="22"/>
                <w:highlight w:val="none"/>
              </w:rPr>
              <w:t>联系电话：</w:t>
            </w:r>
            <w:r>
              <w:rPr>
                <w:rFonts w:hint="eastAsia" w:hAnsi="宋体"/>
                <w:b/>
                <w:bCs/>
                <w:color w:val="auto"/>
                <w:sz w:val="22"/>
                <w:szCs w:val="22"/>
                <w:highlight w:val="none"/>
                <w:lang w:val="en-US" w:eastAsia="zh-CN"/>
              </w:rPr>
              <w:t>15988737601</w:t>
            </w:r>
          </w:p>
          <w:p w14:paraId="090DE035">
            <w:pPr>
              <w:pStyle w:val="106"/>
              <w:tabs>
                <w:tab w:val="left" w:pos="1313"/>
              </w:tabs>
              <w:adjustRightInd w:val="0"/>
              <w:snapToGrid w:val="0"/>
              <w:spacing w:line="360" w:lineRule="exact"/>
              <w:ind w:firstLine="435" w:firstLineChars="197"/>
              <w:rPr>
                <w:rFonts w:hint="eastAsia" w:hAnsi="宋体"/>
                <w:b/>
                <w:bCs/>
                <w:color w:val="auto"/>
                <w:sz w:val="22"/>
                <w:szCs w:val="22"/>
                <w:highlight w:val="none"/>
              </w:rPr>
            </w:pPr>
            <w:r>
              <w:rPr>
                <w:rFonts w:hint="eastAsia" w:hAnsi="宋体"/>
                <w:b/>
                <w:bCs/>
                <w:color w:val="auto"/>
                <w:sz w:val="22"/>
                <w:szCs w:val="22"/>
                <w:highlight w:val="none"/>
              </w:rPr>
              <w:t>邮寄</w:t>
            </w:r>
            <w:r>
              <w:rPr>
                <w:rFonts w:hint="eastAsia" w:hAnsi="宋体"/>
                <w:b/>
                <w:bCs/>
                <w:color w:val="auto"/>
                <w:sz w:val="22"/>
                <w:szCs w:val="22"/>
                <w:highlight w:val="none"/>
                <w:lang w:eastAsia="zh-CN"/>
              </w:rPr>
              <w:t>（</w:t>
            </w:r>
            <w:r>
              <w:rPr>
                <w:rFonts w:hint="eastAsia" w:hAnsi="宋体"/>
                <w:b/>
                <w:bCs/>
                <w:color w:val="auto"/>
                <w:sz w:val="22"/>
                <w:szCs w:val="22"/>
                <w:highlight w:val="none"/>
                <w:lang w:val="en-US" w:eastAsia="zh-CN"/>
              </w:rPr>
              <w:t>送达</w:t>
            </w:r>
            <w:r>
              <w:rPr>
                <w:rFonts w:hint="eastAsia" w:hAnsi="宋体"/>
                <w:b/>
                <w:bCs/>
                <w:color w:val="auto"/>
                <w:sz w:val="22"/>
                <w:szCs w:val="22"/>
                <w:highlight w:val="none"/>
                <w:lang w:eastAsia="zh-CN"/>
              </w:rPr>
              <w:t>）</w:t>
            </w:r>
            <w:r>
              <w:rPr>
                <w:rFonts w:hint="eastAsia" w:hAnsi="宋体"/>
                <w:b/>
                <w:bCs/>
                <w:color w:val="auto"/>
                <w:sz w:val="22"/>
                <w:szCs w:val="22"/>
                <w:highlight w:val="none"/>
              </w:rPr>
              <w:t>截止时间为：</w:t>
            </w:r>
            <w:r>
              <w:rPr>
                <w:rFonts w:hint="eastAsia" w:hAnsi="宋体"/>
                <w:b/>
                <w:bCs w:val="0"/>
                <w:color w:val="auto"/>
                <w:kern w:val="0"/>
                <w:sz w:val="22"/>
                <w:highlight w:val="none"/>
                <w:lang w:eastAsia="zh-CN"/>
              </w:rPr>
              <w:t>2026年2月6日15:00时</w:t>
            </w:r>
            <w:r>
              <w:rPr>
                <w:rFonts w:hint="eastAsia" w:hAnsi="宋体"/>
                <w:b/>
                <w:bCs/>
                <w:color w:val="auto"/>
                <w:sz w:val="22"/>
                <w:szCs w:val="22"/>
                <w:highlight w:val="none"/>
              </w:rPr>
              <w:t>(北京时间)前；投标人须确保投标文件在邮寄</w:t>
            </w:r>
            <w:r>
              <w:rPr>
                <w:rFonts w:hint="eastAsia" w:hAnsi="宋体"/>
                <w:b/>
                <w:bCs/>
                <w:color w:val="auto"/>
                <w:sz w:val="22"/>
                <w:szCs w:val="22"/>
                <w:highlight w:val="none"/>
                <w:lang w:eastAsia="zh-CN"/>
              </w:rPr>
              <w:t>（</w:t>
            </w:r>
            <w:r>
              <w:rPr>
                <w:rFonts w:hint="eastAsia" w:hAnsi="宋体"/>
                <w:b/>
                <w:bCs/>
                <w:color w:val="auto"/>
                <w:sz w:val="22"/>
                <w:szCs w:val="22"/>
                <w:highlight w:val="none"/>
                <w:lang w:val="en-US" w:eastAsia="zh-CN"/>
              </w:rPr>
              <w:t>送达</w:t>
            </w:r>
            <w:r>
              <w:rPr>
                <w:rFonts w:hint="eastAsia" w:hAnsi="宋体"/>
                <w:b/>
                <w:bCs/>
                <w:color w:val="auto"/>
                <w:sz w:val="22"/>
                <w:szCs w:val="22"/>
                <w:highlight w:val="none"/>
                <w:lang w:eastAsia="zh-CN"/>
              </w:rPr>
              <w:t>）</w:t>
            </w:r>
            <w:r>
              <w:rPr>
                <w:rFonts w:hint="eastAsia" w:hAnsi="宋体"/>
                <w:b/>
                <w:bCs/>
                <w:color w:val="auto"/>
                <w:sz w:val="22"/>
                <w:szCs w:val="22"/>
                <w:highlight w:val="none"/>
              </w:rPr>
              <w:t>截止时间前将投标文件寄到邮寄地址，否则导致投标文件不能接受而产生投标无效的后果须由投标人自行承担。</w:t>
            </w:r>
          </w:p>
          <w:p w14:paraId="258FDE62">
            <w:pPr>
              <w:pStyle w:val="106"/>
              <w:tabs>
                <w:tab w:val="left" w:pos="1313"/>
              </w:tabs>
              <w:adjustRightInd w:val="0"/>
              <w:snapToGrid w:val="0"/>
              <w:spacing w:line="360" w:lineRule="exact"/>
              <w:ind w:firstLine="435" w:firstLineChars="197"/>
              <w:rPr>
                <w:rFonts w:hint="eastAsia" w:ascii="宋体" w:hAnsi="宋体" w:eastAsia="宋体" w:cs="宋体"/>
                <w:color w:val="auto"/>
                <w:sz w:val="22"/>
                <w:highlight w:val="none"/>
              </w:rPr>
            </w:pPr>
            <w:r>
              <w:rPr>
                <w:rFonts w:hint="eastAsia" w:hAnsi="宋体"/>
                <w:b/>
                <w:bCs/>
                <w:color w:val="auto"/>
                <w:sz w:val="22"/>
                <w:szCs w:val="22"/>
                <w:highlight w:val="none"/>
              </w:rPr>
              <w:t>投标文件邮寄外包装不得出现供应商名称等信息。</w:t>
            </w:r>
          </w:p>
        </w:tc>
      </w:tr>
      <w:tr w14:paraId="23AA57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751" w:type="dxa"/>
            <w:tcBorders>
              <w:top w:val="single" w:color="auto" w:sz="4" w:space="0"/>
              <w:left w:val="single" w:color="auto" w:sz="12" w:space="0"/>
              <w:right w:val="single" w:color="auto" w:sz="4" w:space="0"/>
            </w:tcBorders>
            <w:vAlign w:val="center"/>
          </w:tcPr>
          <w:p w14:paraId="7E7C25ED">
            <w:pPr>
              <w:widowControl/>
              <w:numPr>
                <w:ilvl w:val="0"/>
                <w:numId w:val="2"/>
              </w:numPr>
              <w:tabs>
                <w:tab w:val="left" w:pos="432"/>
              </w:tabs>
              <w:ind w:left="420" w:hanging="420"/>
              <w:jc w:val="center"/>
              <w:rPr>
                <w:rFonts w:hint="eastAsia" w:ascii="宋体" w:hAnsi="宋体" w:eastAsia="宋体" w:cs="宋体"/>
                <w:color w:val="auto"/>
                <w:sz w:val="22"/>
                <w:highlight w:val="none"/>
              </w:rPr>
            </w:pPr>
          </w:p>
        </w:tc>
        <w:tc>
          <w:tcPr>
            <w:tcW w:w="1620" w:type="dxa"/>
            <w:tcBorders>
              <w:top w:val="single" w:color="auto" w:sz="4" w:space="0"/>
              <w:left w:val="single" w:color="auto" w:sz="4" w:space="0"/>
              <w:right w:val="single" w:color="auto" w:sz="4" w:space="0"/>
            </w:tcBorders>
            <w:vAlign w:val="center"/>
          </w:tcPr>
          <w:p w14:paraId="2019DC31">
            <w:pPr>
              <w:jc w:val="center"/>
              <w:rPr>
                <w:rFonts w:hint="eastAsia" w:ascii="宋体" w:hAnsi="宋体" w:cs="宋体"/>
                <w:color w:val="auto"/>
                <w:sz w:val="22"/>
                <w:highlight w:val="none"/>
              </w:rPr>
            </w:pPr>
            <w:r>
              <w:rPr>
                <w:rFonts w:hint="eastAsia" w:ascii="宋体" w:hAnsi="宋体" w:cs="宋体"/>
                <w:color w:val="auto"/>
                <w:sz w:val="22"/>
                <w:highlight w:val="none"/>
              </w:rPr>
              <w:t>开标时间</w:t>
            </w:r>
          </w:p>
          <w:p w14:paraId="4475A801">
            <w:pPr>
              <w:jc w:val="center"/>
              <w:rPr>
                <w:rFonts w:hint="eastAsia" w:ascii="宋体" w:hAnsi="宋体" w:cs="宋体"/>
                <w:color w:val="auto"/>
                <w:sz w:val="22"/>
                <w:highlight w:val="none"/>
              </w:rPr>
            </w:pPr>
            <w:r>
              <w:rPr>
                <w:rFonts w:hint="eastAsia" w:ascii="宋体" w:hAnsi="宋体" w:cs="宋体"/>
                <w:color w:val="auto"/>
                <w:sz w:val="22"/>
                <w:highlight w:val="none"/>
              </w:rPr>
              <w:t>开标地点</w:t>
            </w:r>
          </w:p>
          <w:p w14:paraId="771FBBDF">
            <w:pPr>
              <w:jc w:val="center"/>
              <w:rPr>
                <w:rFonts w:hint="eastAsia" w:ascii="宋体" w:hAnsi="宋体" w:eastAsia="宋体" w:cs="宋体"/>
                <w:color w:val="auto"/>
                <w:sz w:val="22"/>
                <w:highlight w:val="none"/>
              </w:rPr>
            </w:pPr>
            <w:r>
              <w:rPr>
                <w:rFonts w:hint="eastAsia" w:ascii="宋体" w:hAnsi="宋体" w:cs="宋体"/>
                <w:color w:val="auto"/>
                <w:sz w:val="22"/>
                <w:highlight w:val="none"/>
              </w:rPr>
              <w:t>注意事项</w:t>
            </w:r>
          </w:p>
        </w:tc>
        <w:tc>
          <w:tcPr>
            <w:tcW w:w="7800" w:type="dxa"/>
            <w:tcBorders>
              <w:top w:val="single" w:color="auto" w:sz="4" w:space="0"/>
              <w:left w:val="single" w:color="auto" w:sz="4" w:space="0"/>
              <w:right w:val="single" w:color="auto" w:sz="12" w:space="0"/>
            </w:tcBorders>
            <w:vAlign w:val="center"/>
          </w:tcPr>
          <w:p w14:paraId="0347A87F">
            <w:pPr>
              <w:rPr>
                <w:rFonts w:hint="eastAsia" w:ascii="宋体" w:hAnsi="宋体" w:cs="宋体"/>
                <w:color w:val="auto"/>
                <w:sz w:val="22"/>
                <w:highlight w:val="none"/>
              </w:rPr>
            </w:pPr>
            <w:r>
              <w:rPr>
                <w:rFonts w:hint="eastAsia" w:ascii="宋体" w:hAnsi="宋体" w:cs="宋体"/>
                <w:color w:val="auto"/>
                <w:sz w:val="22"/>
                <w:highlight w:val="none"/>
              </w:rPr>
              <w:t>开标时间：</w:t>
            </w:r>
            <w:r>
              <w:rPr>
                <w:rFonts w:hint="eastAsia" w:ascii="宋体" w:hAnsi="宋体" w:cs="宋体"/>
                <w:color w:val="auto"/>
                <w:sz w:val="22"/>
                <w:highlight w:val="none"/>
                <w:lang w:eastAsia="zh-CN"/>
              </w:rPr>
              <w:t>2026年2月6日15:00时</w:t>
            </w:r>
            <w:r>
              <w:rPr>
                <w:rFonts w:hint="eastAsia" w:ascii="宋体" w:hAnsi="宋体" w:cs="宋体"/>
                <w:color w:val="auto"/>
                <w:sz w:val="22"/>
                <w:highlight w:val="none"/>
              </w:rPr>
              <w:t>(北京时间)；</w:t>
            </w:r>
          </w:p>
          <w:p w14:paraId="667F359D">
            <w:pPr>
              <w:rPr>
                <w:rFonts w:hint="eastAsia" w:ascii="宋体" w:hAnsi="宋体" w:eastAsia="宋体" w:cs="宋体"/>
                <w:color w:val="auto"/>
                <w:sz w:val="22"/>
                <w:highlight w:val="none"/>
              </w:rPr>
            </w:pPr>
            <w:r>
              <w:rPr>
                <w:rFonts w:hint="eastAsia" w:ascii="宋体" w:hAnsi="宋体" w:cs="宋体"/>
                <w:bCs/>
                <w:color w:val="auto"/>
                <w:sz w:val="22"/>
                <w:highlight w:val="none"/>
              </w:rPr>
              <w:t>开标地点：</w:t>
            </w:r>
            <w:r>
              <w:rPr>
                <w:rFonts w:hint="eastAsia" w:ascii="宋体" w:hAnsi="宋体" w:cs="Calibri"/>
                <w:color w:val="auto"/>
                <w:sz w:val="22"/>
                <w:highlight w:val="none"/>
                <w:lang w:eastAsia="zh-CN"/>
              </w:rPr>
              <w:t>泰顺县罗阳镇新城大道123号公共资源交易中心五楼开标室</w:t>
            </w:r>
            <w:r>
              <w:rPr>
                <w:rFonts w:hint="eastAsia" w:ascii="宋体" w:hAnsi="宋体" w:cs="Calibri"/>
                <w:color w:val="auto"/>
                <w:sz w:val="22"/>
                <w:highlight w:val="none"/>
              </w:rPr>
              <w:t>。</w:t>
            </w:r>
          </w:p>
        </w:tc>
      </w:tr>
      <w:tr w14:paraId="722CB1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751" w:type="dxa"/>
            <w:tcBorders>
              <w:top w:val="single" w:color="auto" w:sz="4" w:space="0"/>
              <w:left w:val="single" w:color="auto" w:sz="12" w:space="0"/>
              <w:right w:val="single" w:color="auto" w:sz="4" w:space="0"/>
            </w:tcBorders>
            <w:vAlign w:val="center"/>
          </w:tcPr>
          <w:p w14:paraId="1A4CF9A1">
            <w:pPr>
              <w:widowControl/>
              <w:numPr>
                <w:ilvl w:val="0"/>
                <w:numId w:val="2"/>
              </w:numPr>
              <w:tabs>
                <w:tab w:val="left" w:pos="432"/>
              </w:tabs>
              <w:ind w:left="420" w:hanging="420"/>
              <w:jc w:val="center"/>
              <w:rPr>
                <w:rFonts w:hint="eastAsia" w:ascii="宋体" w:hAnsi="宋体" w:eastAsia="宋体" w:cs="宋体"/>
                <w:color w:val="auto"/>
                <w:sz w:val="22"/>
                <w:highlight w:val="none"/>
              </w:rPr>
            </w:pPr>
          </w:p>
        </w:tc>
        <w:tc>
          <w:tcPr>
            <w:tcW w:w="1620" w:type="dxa"/>
            <w:tcBorders>
              <w:top w:val="single" w:color="auto" w:sz="4" w:space="0"/>
              <w:left w:val="single" w:color="auto" w:sz="4" w:space="0"/>
              <w:right w:val="single" w:color="auto" w:sz="4" w:space="0"/>
            </w:tcBorders>
            <w:vAlign w:val="center"/>
          </w:tcPr>
          <w:p w14:paraId="19DF385E">
            <w:pPr>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开标程序</w:t>
            </w:r>
          </w:p>
        </w:tc>
        <w:tc>
          <w:tcPr>
            <w:tcW w:w="7800" w:type="dxa"/>
            <w:tcBorders>
              <w:top w:val="single" w:color="auto" w:sz="4" w:space="0"/>
              <w:left w:val="single" w:color="auto" w:sz="4" w:space="0"/>
              <w:right w:val="single" w:color="auto" w:sz="12" w:space="0"/>
            </w:tcBorders>
            <w:vAlign w:val="center"/>
          </w:tcPr>
          <w:p w14:paraId="0DE933C9">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（1）宣布开标纪律；</w:t>
            </w:r>
          </w:p>
          <w:p w14:paraId="42E42229">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（2）公布在投标截止时间前递交投标文件的投标供应商名称；</w:t>
            </w:r>
          </w:p>
          <w:p w14:paraId="4D15E48F">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（3）宣布唱标人、记录人、监督人员等有关人员姓名；</w:t>
            </w:r>
          </w:p>
          <w:p w14:paraId="59727F4B">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（4）密封情况检查：由</w:t>
            </w:r>
            <w:r>
              <w:rPr>
                <w:rFonts w:hint="eastAsia" w:ascii="宋体" w:hAnsi="宋体" w:cs="宋体"/>
                <w:color w:val="auto"/>
                <w:sz w:val="22"/>
                <w:highlight w:val="none"/>
                <w:lang w:eastAsia="zh-CN"/>
              </w:rPr>
              <w:t>业主</w:t>
            </w:r>
            <w:r>
              <w:rPr>
                <w:rFonts w:hint="eastAsia" w:ascii="宋体" w:hAnsi="宋体" w:eastAsia="宋体" w:cs="宋体"/>
                <w:color w:val="auto"/>
                <w:sz w:val="22"/>
                <w:highlight w:val="none"/>
              </w:rPr>
              <w:t>代表检查投标文件密封情况；</w:t>
            </w:r>
          </w:p>
          <w:p w14:paraId="305F93BB">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（5）开标顺序：投标供应商送达投标文件的逆序；先开启技术资信部分投标文件，评审结束后，宣布采购预算，再开启报价文件；</w:t>
            </w:r>
          </w:p>
          <w:p w14:paraId="4CCAA545">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（6）确认开标结果：宣布开标结果进行当场校核及勘误，并签字确认；</w:t>
            </w:r>
          </w:p>
          <w:p w14:paraId="23E2E38E">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（7）宣布开标结束；</w:t>
            </w:r>
          </w:p>
        </w:tc>
      </w:tr>
      <w:tr w14:paraId="0C5876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751" w:type="dxa"/>
            <w:tcBorders>
              <w:top w:val="single" w:color="auto" w:sz="4" w:space="0"/>
              <w:left w:val="single" w:color="auto" w:sz="12" w:space="0"/>
              <w:right w:val="single" w:color="auto" w:sz="4" w:space="0"/>
            </w:tcBorders>
            <w:vAlign w:val="center"/>
          </w:tcPr>
          <w:p w14:paraId="55B830EB">
            <w:pPr>
              <w:widowControl/>
              <w:numPr>
                <w:ilvl w:val="0"/>
                <w:numId w:val="2"/>
              </w:numPr>
              <w:tabs>
                <w:tab w:val="left" w:pos="432"/>
              </w:tabs>
              <w:ind w:left="420" w:hanging="420"/>
              <w:jc w:val="center"/>
              <w:rPr>
                <w:rFonts w:hint="eastAsia" w:ascii="宋体" w:hAnsi="宋体" w:eastAsia="宋体" w:cs="宋体"/>
                <w:color w:val="auto"/>
                <w:sz w:val="22"/>
                <w:highlight w:val="none"/>
              </w:rPr>
            </w:pPr>
          </w:p>
        </w:tc>
        <w:tc>
          <w:tcPr>
            <w:tcW w:w="1620" w:type="dxa"/>
            <w:tcBorders>
              <w:top w:val="single" w:color="auto" w:sz="4" w:space="0"/>
              <w:left w:val="single" w:color="auto" w:sz="4" w:space="0"/>
              <w:right w:val="single" w:color="auto" w:sz="4" w:space="0"/>
            </w:tcBorders>
            <w:vAlign w:val="center"/>
          </w:tcPr>
          <w:p w14:paraId="68153A56">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评审小组的</w:t>
            </w:r>
          </w:p>
          <w:p w14:paraId="00EEE672">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组建</w:t>
            </w:r>
          </w:p>
        </w:tc>
        <w:tc>
          <w:tcPr>
            <w:tcW w:w="7800" w:type="dxa"/>
            <w:tcBorders>
              <w:top w:val="single" w:color="auto" w:sz="4" w:space="0"/>
              <w:left w:val="single" w:color="auto" w:sz="4" w:space="0"/>
              <w:right w:val="single" w:color="auto" w:sz="12" w:space="0"/>
            </w:tcBorders>
            <w:vAlign w:val="center"/>
          </w:tcPr>
          <w:p w14:paraId="73CA0AE0">
            <w:pPr>
              <w:rPr>
                <w:rFonts w:hint="eastAsia" w:ascii="宋体" w:hAnsi="宋体" w:eastAsia="宋体" w:cs="宋体"/>
                <w:color w:val="auto"/>
                <w:sz w:val="22"/>
                <w:highlight w:val="none"/>
              </w:rPr>
            </w:pPr>
            <w:r>
              <w:rPr>
                <w:rFonts w:hint="eastAsia" w:ascii="宋体" w:hAnsi="宋体" w:eastAsia="宋体" w:cs="宋体"/>
                <w:color w:val="auto"/>
                <w:sz w:val="22"/>
                <w:highlight w:val="none"/>
              </w:rPr>
              <w:t>评审委员会构成：由采购单位代表以及有关技术、经济等方面的专家组成，成员为 5 人及以上单数，其中技术、经济类专家不得少于总人数的 2/3；评标专家确定方式：按相关规定从专家库中抽取。</w:t>
            </w:r>
          </w:p>
        </w:tc>
      </w:tr>
      <w:tr w14:paraId="1760AC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751" w:type="dxa"/>
            <w:tcBorders>
              <w:top w:val="single" w:color="auto" w:sz="4" w:space="0"/>
              <w:left w:val="single" w:color="auto" w:sz="12" w:space="0"/>
              <w:right w:val="single" w:color="auto" w:sz="4" w:space="0"/>
            </w:tcBorders>
            <w:vAlign w:val="center"/>
          </w:tcPr>
          <w:p w14:paraId="72C966CA">
            <w:pPr>
              <w:widowControl/>
              <w:numPr>
                <w:ilvl w:val="0"/>
                <w:numId w:val="2"/>
              </w:numPr>
              <w:tabs>
                <w:tab w:val="left" w:pos="432"/>
              </w:tabs>
              <w:ind w:left="420" w:hanging="420"/>
              <w:jc w:val="center"/>
              <w:rPr>
                <w:rFonts w:hint="eastAsia" w:ascii="宋体" w:hAnsi="宋体" w:eastAsia="宋体" w:cs="宋体"/>
                <w:color w:val="auto"/>
                <w:sz w:val="22"/>
                <w:highlight w:val="none"/>
              </w:rPr>
            </w:pPr>
          </w:p>
        </w:tc>
        <w:tc>
          <w:tcPr>
            <w:tcW w:w="1620" w:type="dxa"/>
            <w:tcBorders>
              <w:top w:val="single" w:color="auto" w:sz="4" w:space="0"/>
              <w:left w:val="single" w:color="auto" w:sz="4" w:space="0"/>
              <w:right w:val="single" w:color="auto" w:sz="4" w:space="0"/>
            </w:tcBorders>
            <w:vAlign w:val="center"/>
          </w:tcPr>
          <w:p w14:paraId="6B67D219">
            <w:pPr>
              <w:adjustRightIn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国有企业采购</w:t>
            </w:r>
          </w:p>
          <w:p w14:paraId="64B3F594">
            <w:pPr>
              <w:adjustRightIn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扶持政策</w:t>
            </w:r>
          </w:p>
        </w:tc>
        <w:tc>
          <w:tcPr>
            <w:tcW w:w="7800" w:type="dxa"/>
            <w:tcBorders>
              <w:top w:val="single" w:color="auto" w:sz="4" w:space="0"/>
              <w:left w:val="single" w:color="auto" w:sz="4" w:space="0"/>
              <w:right w:val="single" w:color="auto" w:sz="12" w:space="0"/>
            </w:tcBorders>
            <w:vAlign w:val="center"/>
          </w:tcPr>
          <w:p w14:paraId="17CC4858">
            <w:pPr>
              <w:rPr>
                <w:rFonts w:hint="eastAsia" w:ascii="宋体" w:hAnsi="宋体" w:eastAsia="宋体" w:cs="宋体"/>
                <w:color w:val="auto"/>
                <w:sz w:val="22"/>
                <w:highlight w:val="none"/>
              </w:rPr>
            </w:pPr>
            <w:r>
              <w:rPr>
                <w:rFonts w:hint="eastAsia" w:ascii="宋体" w:hAnsi="宋体" w:eastAsia="宋体" w:cs="宋体"/>
                <w:color w:val="auto"/>
                <w:sz w:val="22"/>
                <w:highlight w:val="none"/>
              </w:rPr>
              <w:t>1、对符合财政扶持政策的小微企业（或监狱企业、或残疾人福利性单位）给予评标价格折扣。供应商企业属于以上多种性质的，不重复享受扶持政策。</w:t>
            </w:r>
          </w:p>
          <w:p w14:paraId="76F97A5B">
            <w:pPr>
              <w:rPr>
                <w:rFonts w:hint="eastAsia" w:ascii="宋体" w:hAnsi="宋体" w:eastAsia="宋体" w:cs="宋体"/>
                <w:color w:val="auto"/>
                <w:sz w:val="22"/>
                <w:highlight w:val="none"/>
              </w:rPr>
            </w:pPr>
            <w:r>
              <w:rPr>
                <w:rFonts w:hint="eastAsia" w:ascii="宋体" w:hAnsi="宋体" w:eastAsia="宋体" w:cs="宋体"/>
                <w:color w:val="auto"/>
                <w:sz w:val="22"/>
                <w:highlight w:val="none"/>
              </w:rPr>
              <w:t>2、对节能、环保产品优先采购。</w:t>
            </w:r>
          </w:p>
        </w:tc>
      </w:tr>
      <w:tr w14:paraId="51C54A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80" w:hRule="atLeast"/>
          <w:jc w:val="center"/>
        </w:trPr>
        <w:tc>
          <w:tcPr>
            <w:tcW w:w="751" w:type="dxa"/>
            <w:tcBorders>
              <w:top w:val="single" w:color="auto" w:sz="4" w:space="0"/>
              <w:left w:val="single" w:color="auto" w:sz="12" w:space="0"/>
              <w:right w:val="single" w:color="auto" w:sz="4" w:space="0"/>
            </w:tcBorders>
            <w:vAlign w:val="center"/>
          </w:tcPr>
          <w:p w14:paraId="5EF1F046">
            <w:pPr>
              <w:widowControl/>
              <w:numPr>
                <w:ilvl w:val="0"/>
                <w:numId w:val="2"/>
              </w:numPr>
              <w:tabs>
                <w:tab w:val="left" w:pos="432"/>
              </w:tabs>
              <w:ind w:left="420" w:hanging="420"/>
              <w:jc w:val="center"/>
              <w:rPr>
                <w:rFonts w:hint="eastAsia" w:ascii="宋体" w:hAnsi="宋体" w:eastAsia="宋体" w:cs="宋体"/>
                <w:color w:val="auto"/>
                <w:sz w:val="22"/>
                <w:highlight w:val="none"/>
              </w:rPr>
            </w:pPr>
          </w:p>
        </w:tc>
        <w:tc>
          <w:tcPr>
            <w:tcW w:w="1620" w:type="dxa"/>
            <w:tcBorders>
              <w:top w:val="single" w:color="auto" w:sz="4" w:space="0"/>
              <w:left w:val="single" w:color="auto" w:sz="4" w:space="0"/>
              <w:right w:val="single" w:color="auto" w:sz="4" w:space="0"/>
            </w:tcBorders>
            <w:vAlign w:val="center"/>
          </w:tcPr>
          <w:p w14:paraId="3666E20D">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供应商信用查询</w:t>
            </w:r>
          </w:p>
        </w:tc>
        <w:tc>
          <w:tcPr>
            <w:tcW w:w="7800" w:type="dxa"/>
            <w:tcBorders>
              <w:top w:val="single" w:color="auto" w:sz="4" w:space="0"/>
              <w:left w:val="single" w:color="auto" w:sz="4" w:space="0"/>
              <w:right w:val="single" w:color="auto" w:sz="12" w:space="0"/>
            </w:tcBorders>
            <w:vAlign w:val="center"/>
          </w:tcPr>
          <w:p w14:paraId="4A45560D">
            <w:pPr>
              <w:rPr>
                <w:rFonts w:hint="eastAsia" w:ascii="宋体" w:hAnsi="宋体" w:eastAsia="宋体" w:cs="宋体"/>
                <w:color w:val="auto"/>
                <w:sz w:val="22"/>
                <w:highlight w:val="none"/>
              </w:rPr>
            </w:pPr>
            <w:r>
              <w:rPr>
                <w:rFonts w:hint="eastAsia" w:ascii="宋体" w:hAnsi="宋体" w:eastAsia="宋体" w:cs="宋体"/>
                <w:color w:val="auto"/>
                <w:sz w:val="22"/>
                <w:highlight w:val="none"/>
              </w:rPr>
              <w:t>1 、投 标 供 应 商 信 用 信 息 查 询 的 查 询 渠 道 ： “ 信 用 中 国 ”(www.creditchina.gov.cn)；“中国政府采购网” （http://www.ccgp.gov.cn/）；</w:t>
            </w:r>
          </w:p>
          <w:p w14:paraId="5D4EB601">
            <w:pPr>
              <w:rPr>
                <w:rFonts w:hint="eastAsia" w:ascii="宋体" w:hAnsi="宋体" w:eastAsia="宋体" w:cs="宋体"/>
                <w:color w:val="auto"/>
                <w:sz w:val="22"/>
                <w:highlight w:val="none"/>
              </w:rPr>
            </w:pPr>
            <w:r>
              <w:rPr>
                <w:rFonts w:hint="eastAsia" w:ascii="宋体" w:hAnsi="宋体" w:eastAsia="宋体" w:cs="宋体"/>
                <w:color w:val="auto"/>
                <w:sz w:val="22"/>
                <w:highlight w:val="none"/>
              </w:rPr>
              <w:t>2、投标供应商信用信息查询截止时点：本项目投标截止时间。</w:t>
            </w:r>
          </w:p>
          <w:p w14:paraId="2326074C">
            <w:pPr>
              <w:rPr>
                <w:rFonts w:hint="eastAsia" w:ascii="宋体" w:hAnsi="宋体" w:eastAsia="宋体" w:cs="宋体"/>
                <w:color w:val="auto"/>
                <w:sz w:val="22"/>
                <w:highlight w:val="none"/>
              </w:rPr>
            </w:pPr>
            <w:r>
              <w:rPr>
                <w:rFonts w:hint="eastAsia" w:ascii="宋体" w:hAnsi="宋体" w:eastAsia="宋体" w:cs="宋体"/>
                <w:color w:val="auto"/>
                <w:sz w:val="22"/>
                <w:highlight w:val="none"/>
              </w:rPr>
              <w:t>3、投标供应商信用信息查询记录和证据留存的具体方式：网页截图打印；</w:t>
            </w:r>
          </w:p>
          <w:p w14:paraId="5EFA3703">
            <w:pPr>
              <w:rPr>
                <w:rFonts w:hint="eastAsia" w:ascii="宋体" w:hAnsi="宋体" w:eastAsia="宋体" w:cs="宋体"/>
                <w:color w:val="auto"/>
                <w:sz w:val="22"/>
                <w:highlight w:val="none"/>
              </w:rPr>
            </w:pPr>
            <w:r>
              <w:rPr>
                <w:rFonts w:hint="eastAsia" w:ascii="宋体" w:hAnsi="宋体" w:eastAsia="宋体" w:cs="宋体"/>
                <w:color w:val="auto"/>
                <w:sz w:val="22"/>
                <w:highlight w:val="none"/>
              </w:rPr>
              <w:t>4、信用信息的使用规则：“信用中国”被列入失信被执行人名单、重大税收违法案件当事人名单的供应商，或“中国政府采购网”具有严重违法失信行为信息记录的供应商，其投标做无效投标处理；</w:t>
            </w:r>
          </w:p>
        </w:tc>
      </w:tr>
      <w:tr w14:paraId="6FF4A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751" w:type="dxa"/>
            <w:tcBorders>
              <w:top w:val="single" w:color="auto" w:sz="4" w:space="0"/>
              <w:left w:val="single" w:color="auto" w:sz="12" w:space="0"/>
              <w:right w:val="single" w:color="auto" w:sz="4" w:space="0"/>
            </w:tcBorders>
            <w:vAlign w:val="center"/>
          </w:tcPr>
          <w:p w14:paraId="5C9C3A98">
            <w:pPr>
              <w:widowControl/>
              <w:numPr>
                <w:ilvl w:val="0"/>
                <w:numId w:val="2"/>
              </w:numPr>
              <w:tabs>
                <w:tab w:val="left" w:pos="432"/>
              </w:tabs>
              <w:ind w:left="420" w:hanging="420"/>
              <w:jc w:val="center"/>
              <w:rPr>
                <w:rFonts w:hint="eastAsia" w:ascii="宋体" w:hAnsi="宋体" w:eastAsia="宋体" w:cs="宋体"/>
                <w:color w:val="auto"/>
                <w:sz w:val="22"/>
                <w:highlight w:val="none"/>
              </w:rPr>
            </w:pPr>
          </w:p>
        </w:tc>
        <w:tc>
          <w:tcPr>
            <w:tcW w:w="1620" w:type="dxa"/>
            <w:tcBorders>
              <w:top w:val="single" w:color="auto" w:sz="4" w:space="0"/>
              <w:left w:val="single" w:color="auto" w:sz="4" w:space="0"/>
              <w:right w:val="single" w:color="auto" w:sz="4" w:space="0"/>
            </w:tcBorders>
            <w:vAlign w:val="center"/>
          </w:tcPr>
          <w:p w14:paraId="1ED62E76">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合同备案</w:t>
            </w:r>
          </w:p>
        </w:tc>
        <w:tc>
          <w:tcPr>
            <w:tcW w:w="7800" w:type="dxa"/>
            <w:tcBorders>
              <w:top w:val="single" w:color="auto" w:sz="4" w:space="0"/>
              <w:left w:val="single" w:color="auto" w:sz="4" w:space="0"/>
              <w:right w:val="single" w:color="auto" w:sz="12" w:space="0"/>
            </w:tcBorders>
            <w:vAlign w:val="center"/>
          </w:tcPr>
          <w:p w14:paraId="5B59050C">
            <w:pPr>
              <w:rPr>
                <w:rFonts w:hint="eastAsia" w:ascii="宋体" w:hAnsi="宋体" w:eastAsia="宋体" w:cs="宋体"/>
                <w:color w:val="auto"/>
                <w:sz w:val="22"/>
                <w:highlight w:val="none"/>
              </w:rPr>
            </w:pPr>
            <w:r>
              <w:rPr>
                <w:rFonts w:hint="eastAsia" w:ascii="宋体" w:hAnsi="宋体" w:eastAsia="宋体" w:cs="宋体"/>
                <w:color w:val="auto"/>
                <w:sz w:val="22"/>
                <w:highlight w:val="none"/>
              </w:rPr>
              <w:t>1、中标供应商须在发出中标通知书之日起30日历天内与采购单位签订合同。</w:t>
            </w:r>
          </w:p>
          <w:p w14:paraId="59DC781B">
            <w:pPr>
              <w:rPr>
                <w:rFonts w:hint="eastAsia" w:ascii="宋体" w:hAnsi="宋体" w:eastAsia="宋体" w:cs="宋体"/>
                <w:color w:val="auto"/>
                <w:sz w:val="22"/>
                <w:highlight w:val="none"/>
              </w:rPr>
            </w:pPr>
            <w:r>
              <w:rPr>
                <w:rFonts w:hint="eastAsia" w:ascii="宋体" w:hAnsi="宋体" w:eastAsia="宋体" w:cs="宋体"/>
                <w:color w:val="auto"/>
                <w:sz w:val="22"/>
                <w:highlight w:val="none"/>
              </w:rPr>
              <w:t>2、中标供应商与采购单位签订合同后，2日历天内将合同原件交泰顺县公共资源交易中心备案。</w:t>
            </w:r>
          </w:p>
        </w:tc>
      </w:tr>
      <w:tr w14:paraId="4F5362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751" w:type="dxa"/>
            <w:tcBorders>
              <w:top w:val="single" w:color="auto" w:sz="4" w:space="0"/>
              <w:left w:val="single" w:color="auto" w:sz="12" w:space="0"/>
              <w:right w:val="single" w:color="auto" w:sz="4" w:space="0"/>
            </w:tcBorders>
            <w:vAlign w:val="center"/>
          </w:tcPr>
          <w:p w14:paraId="114BCBE1">
            <w:pPr>
              <w:widowControl/>
              <w:numPr>
                <w:ilvl w:val="0"/>
                <w:numId w:val="2"/>
              </w:numPr>
              <w:tabs>
                <w:tab w:val="left" w:pos="432"/>
              </w:tabs>
              <w:ind w:left="420" w:hanging="420"/>
              <w:jc w:val="center"/>
              <w:rPr>
                <w:rFonts w:hint="eastAsia" w:ascii="宋体" w:hAnsi="宋体" w:eastAsia="宋体" w:cs="宋体"/>
                <w:color w:val="auto"/>
                <w:sz w:val="22"/>
                <w:highlight w:val="none"/>
              </w:rPr>
            </w:pPr>
          </w:p>
        </w:tc>
        <w:tc>
          <w:tcPr>
            <w:tcW w:w="1620" w:type="dxa"/>
            <w:tcBorders>
              <w:top w:val="single" w:color="auto" w:sz="4" w:space="0"/>
              <w:left w:val="single" w:color="auto" w:sz="4" w:space="0"/>
              <w:right w:val="single" w:color="auto" w:sz="4" w:space="0"/>
            </w:tcBorders>
            <w:vAlign w:val="center"/>
          </w:tcPr>
          <w:p w14:paraId="10AF3177">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合同履约管理</w:t>
            </w:r>
          </w:p>
        </w:tc>
        <w:tc>
          <w:tcPr>
            <w:tcW w:w="7800" w:type="dxa"/>
            <w:tcBorders>
              <w:top w:val="single" w:color="auto" w:sz="4" w:space="0"/>
              <w:left w:val="single" w:color="auto" w:sz="4" w:space="0"/>
              <w:right w:val="single" w:color="auto" w:sz="12" w:space="0"/>
            </w:tcBorders>
            <w:vAlign w:val="center"/>
          </w:tcPr>
          <w:p w14:paraId="1616C837">
            <w:pPr>
              <w:rPr>
                <w:rFonts w:hint="eastAsia" w:ascii="宋体" w:hAnsi="宋体" w:eastAsia="宋体" w:cs="宋体"/>
                <w:color w:val="auto"/>
                <w:sz w:val="22"/>
                <w:highlight w:val="none"/>
              </w:rPr>
            </w:pPr>
            <w:r>
              <w:rPr>
                <w:rFonts w:hint="eastAsia" w:ascii="宋体" w:hAnsi="宋体" w:eastAsia="宋体" w:cs="宋体"/>
                <w:color w:val="auto"/>
                <w:sz w:val="22"/>
                <w:highlight w:val="none"/>
              </w:rPr>
              <w:t>合同签订后，采购单位依法加强对合同履约进行管理，并在成交单位供货、项目验收等重要关节，如实填写《合同验收报告》，并及时向同级财政部门报告验收过程中遇到的问题。</w:t>
            </w:r>
          </w:p>
        </w:tc>
      </w:tr>
      <w:tr w14:paraId="4BEF3C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751" w:type="dxa"/>
            <w:tcBorders>
              <w:top w:val="single" w:color="auto" w:sz="4" w:space="0"/>
              <w:left w:val="single" w:color="auto" w:sz="12" w:space="0"/>
              <w:right w:val="single" w:color="auto" w:sz="4" w:space="0"/>
            </w:tcBorders>
            <w:vAlign w:val="center"/>
          </w:tcPr>
          <w:p w14:paraId="55BC4E00">
            <w:pPr>
              <w:widowControl/>
              <w:numPr>
                <w:ilvl w:val="0"/>
                <w:numId w:val="2"/>
              </w:numPr>
              <w:tabs>
                <w:tab w:val="left" w:pos="432"/>
              </w:tabs>
              <w:ind w:left="420" w:hanging="420"/>
              <w:jc w:val="center"/>
              <w:rPr>
                <w:rFonts w:hint="eastAsia" w:ascii="宋体" w:hAnsi="宋体" w:eastAsia="宋体" w:cs="宋体"/>
                <w:color w:val="auto"/>
                <w:sz w:val="22"/>
                <w:highlight w:val="none"/>
              </w:rPr>
            </w:pPr>
          </w:p>
        </w:tc>
        <w:tc>
          <w:tcPr>
            <w:tcW w:w="1620" w:type="dxa"/>
            <w:tcBorders>
              <w:top w:val="single" w:color="auto" w:sz="4" w:space="0"/>
              <w:left w:val="single" w:color="auto" w:sz="4" w:space="0"/>
              <w:right w:val="single" w:color="auto" w:sz="4" w:space="0"/>
            </w:tcBorders>
            <w:vAlign w:val="center"/>
          </w:tcPr>
          <w:p w14:paraId="4BB468BD">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免责声明</w:t>
            </w:r>
          </w:p>
        </w:tc>
        <w:tc>
          <w:tcPr>
            <w:tcW w:w="7800" w:type="dxa"/>
            <w:tcBorders>
              <w:top w:val="single" w:color="auto" w:sz="4" w:space="0"/>
              <w:left w:val="single" w:color="auto" w:sz="4" w:space="0"/>
              <w:right w:val="single" w:color="auto" w:sz="12" w:space="0"/>
            </w:tcBorders>
            <w:vAlign w:val="center"/>
          </w:tcPr>
          <w:p w14:paraId="1251ED75">
            <w:pPr>
              <w:rPr>
                <w:rFonts w:hint="eastAsia" w:ascii="宋体" w:hAnsi="宋体" w:eastAsia="宋体" w:cs="宋体"/>
                <w:color w:val="auto"/>
                <w:sz w:val="22"/>
                <w:highlight w:val="none"/>
              </w:rPr>
            </w:pPr>
            <w:r>
              <w:rPr>
                <w:rFonts w:hint="eastAsia" w:ascii="宋体" w:hAnsi="宋体" w:eastAsia="宋体" w:cs="宋体"/>
                <w:color w:val="auto"/>
                <w:sz w:val="22"/>
                <w:highlight w:val="none"/>
              </w:rPr>
              <w:t>1、投标供应商自行承担投标过程中产生的费用。无论何种因素导致采购项目延期开标、废标（流标）、投标供应商未成交、项目终止采购的，采购单位与代理机构均不承担供应商投标费用。</w:t>
            </w:r>
          </w:p>
          <w:p w14:paraId="5C254D9B">
            <w:pPr>
              <w:rPr>
                <w:rFonts w:hint="eastAsia" w:ascii="宋体" w:hAnsi="宋体" w:eastAsia="宋体" w:cs="宋体"/>
                <w:color w:val="auto"/>
                <w:sz w:val="22"/>
                <w:highlight w:val="none"/>
              </w:rPr>
            </w:pPr>
            <w:r>
              <w:rPr>
                <w:rFonts w:hint="eastAsia" w:ascii="宋体" w:hAnsi="宋体" w:eastAsia="宋体" w:cs="宋体"/>
                <w:color w:val="auto"/>
                <w:sz w:val="22"/>
                <w:highlight w:val="none"/>
              </w:rPr>
              <w:t>2、投标供应商在投标、合同履行过程中必须做好安全保障工作，不因项目实施而危及自身及第三方人员、财产安全。若发生任何安全事故，由中标供应商自行承担一切责任并赔偿损失。</w:t>
            </w:r>
          </w:p>
        </w:tc>
      </w:tr>
      <w:tr w14:paraId="4A9198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751" w:type="dxa"/>
            <w:tcBorders>
              <w:top w:val="single" w:color="auto" w:sz="4" w:space="0"/>
              <w:left w:val="single" w:color="auto" w:sz="12" w:space="0"/>
              <w:right w:val="single" w:color="auto" w:sz="4" w:space="0"/>
            </w:tcBorders>
            <w:vAlign w:val="center"/>
          </w:tcPr>
          <w:p w14:paraId="02687336">
            <w:pPr>
              <w:widowControl/>
              <w:numPr>
                <w:ilvl w:val="0"/>
                <w:numId w:val="2"/>
              </w:numPr>
              <w:tabs>
                <w:tab w:val="left" w:pos="432"/>
              </w:tabs>
              <w:ind w:left="420" w:hanging="420"/>
              <w:jc w:val="center"/>
              <w:rPr>
                <w:rFonts w:hint="eastAsia" w:ascii="宋体" w:hAnsi="宋体" w:eastAsia="宋体" w:cs="宋体"/>
                <w:color w:val="auto"/>
                <w:sz w:val="22"/>
                <w:highlight w:val="none"/>
              </w:rPr>
            </w:pPr>
          </w:p>
        </w:tc>
        <w:tc>
          <w:tcPr>
            <w:tcW w:w="1620" w:type="dxa"/>
            <w:tcBorders>
              <w:top w:val="single" w:color="auto" w:sz="4" w:space="0"/>
              <w:left w:val="single" w:color="auto" w:sz="4" w:space="0"/>
              <w:right w:val="single" w:color="auto" w:sz="4" w:space="0"/>
            </w:tcBorders>
            <w:vAlign w:val="center"/>
          </w:tcPr>
          <w:p w14:paraId="6D5B250B">
            <w:pPr>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招标文件质疑截止时间</w:t>
            </w:r>
          </w:p>
        </w:tc>
        <w:tc>
          <w:tcPr>
            <w:tcW w:w="7800" w:type="dxa"/>
            <w:tcBorders>
              <w:top w:val="single" w:color="auto" w:sz="4" w:space="0"/>
              <w:left w:val="single" w:color="auto" w:sz="4" w:space="0"/>
              <w:right w:val="single" w:color="auto" w:sz="12" w:space="0"/>
            </w:tcBorders>
            <w:vAlign w:val="center"/>
          </w:tcPr>
          <w:p w14:paraId="620DD39C">
            <w:pPr>
              <w:pStyle w:val="35"/>
              <w:shd w:val="clear" w:color="auto" w:fill="FFFFFF"/>
              <w:spacing w:after="156" w:afterLines="0" w:line="400" w:lineRule="atLeast"/>
              <w:rPr>
                <w:rFonts w:hint="eastAsia" w:ascii="宋体" w:hAnsi="宋体" w:eastAsia="宋体" w:cs="宋体"/>
                <w:color w:val="auto"/>
                <w:sz w:val="22"/>
                <w:highlight w:val="none"/>
              </w:rPr>
            </w:pPr>
            <w:r>
              <w:rPr>
                <w:rFonts w:hint="eastAsia" w:ascii="宋体" w:hAnsi="宋体" w:cs="Calibri"/>
                <w:sz w:val="22"/>
                <w:szCs w:val="22"/>
              </w:rPr>
              <w:t>招标公告期限届满之日七个工作日</w:t>
            </w:r>
            <w:r>
              <w:rPr>
                <w:rFonts w:hint="eastAsia" w:ascii="宋体" w:hAnsi="宋体" w:cs="Calibri"/>
                <w:sz w:val="22"/>
                <w:szCs w:val="22"/>
                <w:lang w:val="en-US" w:eastAsia="zh-CN"/>
              </w:rPr>
              <w:t>内</w:t>
            </w:r>
            <w:r>
              <w:rPr>
                <w:rFonts w:hint="eastAsia" w:ascii="宋体" w:hAnsi="宋体" w:cs="Calibri"/>
                <w:sz w:val="22"/>
                <w:szCs w:val="22"/>
              </w:rPr>
              <w:t>，</w:t>
            </w:r>
            <w:r>
              <w:rPr>
                <w:rFonts w:ascii="宋体" w:hAnsi="宋体" w:cs="Calibri"/>
                <w:sz w:val="22"/>
                <w:szCs w:val="22"/>
              </w:rPr>
              <w:t>必须以书面形式加盖公章</w:t>
            </w:r>
            <w:r>
              <w:rPr>
                <w:rFonts w:hint="eastAsia" w:ascii="宋体" w:hAnsi="宋体" w:cs="Calibri"/>
                <w:sz w:val="22"/>
                <w:szCs w:val="22"/>
                <w:lang w:val="en-US" w:eastAsia="zh-CN"/>
              </w:rPr>
              <w:t>送至</w:t>
            </w:r>
            <w:r>
              <w:rPr>
                <w:rFonts w:ascii="宋体" w:hAnsi="宋体" w:cs="Calibri"/>
                <w:sz w:val="22"/>
                <w:szCs w:val="22"/>
              </w:rPr>
              <w:t>采购机构，逾期采购机构可不予受理及答复。</w:t>
            </w:r>
          </w:p>
        </w:tc>
      </w:tr>
      <w:bookmarkEnd w:id="0"/>
    </w:tbl>
    <w:p w14:paraId="6E72967E">
      <w:pPr>
        <w:pStyle w:val="36"/>
        <w:spacing w:line="360" w:lineRule="auto"/>
        <w:rPr>
          <w:rFonts w:hint="eastAsia" w:ascii="宋体" w:hAnsi="宋体"/>
          <w:color w:val="auto"/>
          <w:kern w:val="2"/>
          <w:sz w:val="36"/>
          <w:szCs w:val="36"/>
          <w:highlight w:val="none"/>
          <w:lang w:val="zh-CN"/>
        </w:rPr>
      </w:pPr>
      <w:bookmarkStart w:id="27" w:name="_Toc499821118"/>
      <w:r>
        <w:rPr>
          <w:rFonts w:hint="eastAsia" w:ascii="宋体" w:hAnsi="宋体"/>
          <w:color w:val="auto"/>
          <w:kern w:val="2"/>
          <w:sz w:val="36"/>
          <w:szCs w:val="36"/>
          <w:highlight w:val="none"/>
          <w:lang w:val="zh-CN"/>
        </w:rPr>
        <w:br w:type="page"/>
      </w:r>
      <w:bookmarkEnd w:id="27"/>
    </w:p>
    <w:p w14:paraId="529AD048">
      <w:pPr>
        <w:pStyle w:val="36"/>
        <w:spacing w:line="360" w:lineRule="auto"/>
        <w:rPr>
          <w:rFonts w:hint="eastAsia" w:ascii="宋体" w:hAnsi="宋体" w:eastAsia="宋体" w:cs="Times New Roman"/>
          <w:b/>
          <w:bCs/>
          <w:color w:val="auto"/>
          <w:kern w:val="2"/>
          <w:sz w:val="36"/>
          <w:szCs w:val="36"/>
          <w:highlight w:val="none"/>
          <w:lang w:val="zh-CN" w:eastAsia="zh-CN" w:bidi="ar-SA"/>
        </w:rPr>
      </w:pPr>
      <w:r>
        <w:rPr>
          <w:rFonts w:hint="eastAsia" w:ascii="宋体" w:hAnsi="宋体" w:eastAsia="宋体" w:cs="Times New Roman"/>
          <w:b/>
          <w:bCs/>
          <w:color w:val="auto"/>
          <w:kern w:val="2"/>
          <w:sz w:val="36"/>
          <w:szCs w:val="36"/>
          <w:highlight w:val="none"/>
          <w:lang w:val="zh-CN" w:eastAsia="zh-CN" w:bidi="ar-SA"/>
        </w:rPr>
        <w:t>第二部分 招标内容及技术要求</w:t>
      </w:r>
    </w:p>
    <w:p w14:paraId="149381A8">
      <w:pPr>
        <w:pStyle w:val="4"/>
        <w:pageBreakBefore w:val="0"/>
        <w:widowControl w:val="0"/>
        <w:kinsoku/>
        <w:wordWrap/>
        <w:overflowPunct/>
        <w:topLinePunct w:val="0"/>
        <w:autoSpaceDE/>
        <w:autoSpaceDN/>
        <w:bidi w:val="0"/>
        <w:spacing w:before="120" w:beforeLines="0" w:after="120" w:afterLines="0" w:line="400" w:lineRule="exact"/>
        <w:ind w:left="0" w:right="0" w:firstLine="0"/>
        <w:jc w:val="both"/>
        <w:rPr>
          <w:rFonts w:hint="eastAsia" w:ascii="宋体" w:hAnsi="宋体" w:eastAsia="宋体" w:cs="宋体"/>
          <w:b/>
          <w:bCs/>
          <w:color w:val="000000"/>
          <w:spacing w:val="0"/>
          <w:sz w:val="24"/>
          <w:szCs w:val="24"/>
          <w:highlight w:val="none"/>
          <w:lang w:val="en-US" w:eastAsia="zh-CN"/>
        </w:rPr>
      </w:pPr>
      <w:r>
        <w:rPr>
          <w:rFonts w:hint="eastAsia" w:ascii="宋体" w:hAnsi="宋体" w:eastAsia="宋体" w:cs="宋体"/>
          <w:b/>
          <w:bCs/>
          <w:color w:val="000000"/>
          <w:spacing w:val="0"/>
          <w:sz w:val="24"/>
          <w:szCs w:val="24"/>
          <w:highlight w:val="none"/>
          <w:lang w:val="en-US" w:eastAsia="zh-CN"/>
        </w:rPr>
        <w:t>一、采购清单</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4785"/>
        <w:gridCol w:w="1800"/>
        <w:gridCol w:w="1770"/>
      </w:tblGrid>
      <w:tr w14:paraId="2201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907" w:type="dxa"/>
            <w:vAlign w:val="center"/>
          </w:tcPr>
          <w:p w14:paraId="4FC48CB8">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4785" w:type="dxa"/>
            <w:vAlign w:val="center"/>
          </w:tcPr>
          <w:p w14:paraId="2BBCEFF3">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产品名称</w:t>
            </w:r>
          </w:p>
        </w:tc>
        <w:tc>
          <w:tcPr>
            <w:tcW w:w="1800" w:type="dxa"/>
            <w:vAlign w:val="center"/>
          </w:tcPr>
          <w:p w14:paraId="4C6C0BF2">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数量</w:t>
            </w:r>
          </w:p>
        </w:tc>
        <w:tc>
          <w:tcPr>
            <w:tcW w:w="1770" w:type="dxa"/>
            <w:vAlign w:val="center"/>
          </w:tcPr>
          <w:p w14:paraId="6486B68F">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单位</w:t>
            </w:r>
          </w:p>
        </w:tc>
      </w:tr>
      <w:tr w14:paraId="07F94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3A14628D">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4785" w:type="dxa"/>
            <w:vAlign w:val="center"/>
          </w:tcPr>
          <w:p w14:paraId="0C024EDE">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超滤膜一体化净水设备</w:t>
            </w:r>
          </w:p>
        </w:tc>
        <w:tc>
          <w:tcPr>
            <w:tcW w:w="1800" w:type="dxa"/>
            <w:vAlign w:val="center"/>
          </w:tcPr>
          <w:p w14:paraId="42578444">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770" w:type="dxa"/>
            <w:vAlign w:val="center"/>
          </w:tcPr>
          <w:p w14:paraId="682BA25F">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r>
      <w:tr w14:paraId="4F63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907" w:type="dxa"/>
            <w:vAlign w:val="center"/>
          </w:tcPr>
          <w:p w14:paraId="1E42324A">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4785" w:type="dxa"/>
            <w:vAlign w:val="center"/>
          </w:tcPr>
          <w:p w14:paraId="507690BC">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超滤膜一体化净水设备配套</w:t>
            </w:r>
          </w:p>
        </w:tc>
        <w:tc>
          <w:tcPr>
            <w:tcW w:w="1800" w:type="dxa"/>
            <w:vAlign w:val="center"/>
          </w:tcPr>
          <w:p w14:paraId="3EF6BD45">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770" w:type="dxa"/>
            <w:vAlign w:val="center"/>
          </w:tcPr>
          <w:p w14:paraId="4D1B071B">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r>
    </w:tbl>
    <w:p w14:paraId="6D47CD9A">
      <w:pPr>
        <w:pStyle w:val="4"/>
        <w:pageBreakBefore w:val="0"/>
        <w:widowControl w:val="0"/>
        <w:kinsoku/>
        <w:wordWrap/>
        <w:overflowPunct/>
        <w:topLinePunct w:val="0"/>
        <w:autoSpaceDE/>
        <w:autoSpaceDN/>
        <w:bidi w:val="0"/>
        <w:spacing w:before="120" w:beforeLines="0" w:after="120" w:afterLines="0" w:line="400" w:lineRule="exact"/>
        <w:ind w:left="0" w:right="0" w:firstLine="0"/>
        <w:jc w:val="both"/>
        <w:rPr>
          <w:rFonts w:hint="default" w:ascii="宋体" w:hAnsi="宋体" w:eastAsia="宋体" w:cs="宋体"/>
          <w:b/>
          <w:bCs/>
          <w:color w:val="000000"/>
          <w:spacing w:val="0"/>
          <w:sz w:val="24"/>
          <w:szCs w:val="24"/>
          <w:highlight w:val="none"/>
          <w:lang w:val="en-US" w:eastAsia="zh-CN"/>
        </w:rPr>
      </w:pPr>
      <w:r>
        <w:rPr>
          <w:rFonts w:hint="eastAsia" w:ascii="宋体" w:hAnsi="宋体" w:eastAsia="宋体" w:cs="宋体"/>
          <w:b/>
          <w:bCs/>
          <w:color w:val="000000"/>
          <w:spacing w:val="0"/>
          <w:sz w:val="24"/>
          <w:szCs w:val="24"/>
          <w:highlight w:val="none"/>
          <w:lang w:val="en-US" w:eastAsia="zh-CN"/>
        </w:rPr>
        <w:t>二、技术参数要求</w:t>
      </w:r>
    </w:p>
    <w:p w14:paraId="14D175DD">
      <w:pPr>
        <w:pStyle w:val="4"/>
        <w:pageBreakBefore w:val="0"/>
        <w:widowControl w:val="0"/>
        <w:kinsoku/>
        <w:wordWrap/>
        <w:overflowPunct/>
        <w:topLinePunct w:val="0"/>
        <w:autoSpaceDE/>
        <w:autoSpaceDN/>
        <w:bidi w:val="0"/>
        <w:spacing w:before="120" w:beforeLines="0" w:after="120" w:afterLines="0" w:line="400" w:lineRule="exact"/>
        <w:ind w:left="0" w:right="0" w:firstLine="0"/>
        <w:jc w:val="both"/>
        <w:rPr>
          <w:rFonts w:hint="eastAsia" w:ascii="宋体" w:hAnsi="宋体" w:eastAsia="宋体" w:cs="宋体"/>
          <w:b/>
          <w:bCs/>
          <w:color w:val="000000"/>
          <w:spacing w:val="0"/>
          <w:sz w:val="24"/>
          <w:szCs w:val="24"/>
          <w:highlight w:val="none"/>
          <w:lang w:val="en-US" w:eastAsia="zh-CN"/>
        </w:rPr>
      </w:pPr>
      <w:r>
        <w:rPr>
          <w:rFonts w:hint="eastAsia" w:ascii="宋体" w:hAnsi="宋体" w:eastAsia="宋体" w:cs="宋体"/>
          <w:b/>
          <w:bCs/>
          <w:color w:val="000000"/>
          <w:spacing w:val="0"/>
          <w:sz w:val="24"/>
          <w:szCs w:val="24"/>
          <w:highlight w:val="none"/>
          <w:lang w:val="en-US" w:eastAsia="zh-CN"/>
        </w:rPr>
        <w:t>（一）净水工艺总体要求</w:t>
      </w:r>
    </w:p>
    <w:p w14:paraId="4E0CC0B1">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（1）设备须适应较大的水质波动，在水源地水质发生较大水质波动时，仍须提供优于国家自来水水质标准（GB5749－2006）的出水水质，且满足产水水量。</w:t>
      </w:r>
    </w:p>
    <w:p w14:paraId="794FC297">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（2）设备废水总排放率需≤5%。</w:t>
      </w:r>
    </w:p>
    <w:p w14:paraId="4FB564FD">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（3）出厂水质要求：浸没式超滤膜净水设备出水水质需达到现行《生活饮用水卫生标准》的要求，其中浊度需&lt;0.2NTU，游离氯须满足在0.3-2.0mg/L范围内可任意调节。</w:t>
      </w:r>
    </w:p>
    <w:p w14:paraId="225B86D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（4）净水工艺需采用虹吸负压方式产水，正常运行压力不得大于0.03MPa，极限工作压力不得大于0.06MPa。同时须满足膜安全运行的要求。</w:t>
      </w:r>
    </w:p>
    <w:p w14:paraId="472AD87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成套设备必须具备包括定期膜表面强制清洗及膜内清水反洗（物理清洗）、化学清洗工艺，并配备相应的工艺管道和机电设备。产水管路须设置可远传压力表和可远传流量计，实现进水、产水、清洗、排泥功能的自动控制，实现实时监控和远程操作。</w:t>
      </w:r>
    </w:p>
    <w:p w14:paraId="10AAC53C">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（6）消毒药剂投加点须布置在设备出水管线上，具备后加氯工艺配置。</w:t>
      </w:r>
    </w:p>
    <w:p w14:paraId="382C535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（7）整体设备装机功率要求：1000吨/天整体装机功率≤28KW。</w:t>
      </w:r>
    </w:p>
    <w:p w14:paraId="1A1C5F55">
      <w:pPr>
        <w:rPr>
          <w:rFonts w:hint="eastAsia"/>
          <w:lang w:val="en-US" w:eastAsia="zh-CN"/>
        </w:rPr>
      </w:pPr>
    </w:p>
    <w:p w14:paraId="63CBFCA3">
      <w:pPr>
        <w:pStyle w:val="4"/>
        <w:pageBreakBefore w:val="0"/>
        <w:widowControl w:val="0"/>
        <w:kinsoku/>
        <w:wordWrap/>
        <w:overflowPunct/>
        <w:topLinePunct w:val="0"/>
        <w:autoSpaceDE/>
        <w:autoSpaceDN/>
        <w:bidi w:val="0"/>
        <w:spacing w:before="120" w:beforeLines="0" w:after="120" w:afterLines="0" w:line="400" w:lineRule="exact"/>
        <w:ind w:left="0" w:right="0" w:firstLine="0"/>
        <w:jc w:val="both"/>
        <w:rPr>
          <w:rFonts w:hint="eastAsia" w:ascii="宋体" w:hAnsi="宋体" w:eastAsia="宋体" w:cs="宋体"/>
          <w:b/>
          <w:bCs/>
          <w:color w:val="000000"/>
          <w:spacing w:val="0"/>
          <w:sz w:val="24"/>
          <w:szCs w:val="24"/>
          <w:highlight w:val="none"/>
          <w:lang w:val="en-US" w:eastAsia="zh-CN"/>
        </w:rPr>
      </w:pPr>
      <w:r>
        <w:rPr>
          <w:rFonts w:hint="eastAsia" w:ascii="宋体" w:hAnsi="宋体" w:eastAsia="宋体" w:cs="宋体"/>
          <w:b/>
          <w:bCs/>
          <w:color w:val="000000"/>
          <w:spacing w:val="0"/>
          <w:sz w:val="24"/>
          <w:szCs w:val="24"/>
          <w:highlight w:val="none"/>
          <w:lang w:val="en-US" w:eastAsia="zh-CN"/>
        </w:rPr>
        <w:t>（二）超滤系统</w:t>
      </w:r>
    </w:p>
    <w:p w14:paraId="35840C4A">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浸没式超滤膜系统的运行过程涉及超滤膜过滤产水、气水联洗、在线化学清洗和离线化学清洗。</w:t>
      </w:r>
    </w:p>
    <w:p w14:paraId="449A18CA">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u w:val="single"/>
        </w:rPr>
      </w:pPr>
      <w:r>
        <w:rPr>
          <w:rFonts w:hint="eastAsia" w:ascii="宋体" w:hAnsi="宋体" w:eastAsia="宋体" w:cs="宋体"/>
          <w:b w:val="0"/>
          <w:bCs w:val="0"/>
          <w:sz w:val="24"/>
          <w:szCs w:val="24"/>
          <w:highlight w:val="none"/>
          <w:u w:val="single"/>
        </w:rPr>
        <w:t>★设备废水总排放率需≤5%。（</w:t>
      </w:r>
      <w:r>
        <w:rPr>
          <w:rFonts w:hint="eastAsia" w:ascii="宋体" w:hAnsi="宋体" w:eastAsia="宋体" w:cs="宋体"/>
          <w:b w:val="0"/>
          <w:bCs w:val="0"/>
          <w:sz w:val="24"/>
          <w:szCs w:val="24"/>
          <w:highlight w:val="none"/>
          <w:u w:val="single"/>
          <w:lang w:val="en-US" w:eastAsia="zh-CN"/>
        </w:rPr>
        <w:t>需提供超滤净水设备的节水产品认证证书）</w:t>
      </w:r>
    </w:p>
    <w:p w14:paraId="1654882A">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（1）超滤膜过滤过程技术要求</w:t>
      </w:r>
    </w:p>
    <w:p w14:paraId="40E8D8F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原水通过进水管和进水控制阀进入超滤膜池，产水管路集成在膜池下方，抬高膜池，待滤水通过虹吸作用从中空纤维膜外侧透过膜壁，收集于集水管。每个膜池中的所有产水汇集到产水总管中，进入下一个处理工艺或清水池，过滤周期一般为2-3h。不锈钢水箱膜池尺寸及板材用料壁厚满足《国家建筑标准设计图集：矩形给水箱》(12S101)内容要求。</w:t>
      </w:r>
    </w:p>
    <w:p w14:paraId="3C860088">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（2）产水过程技术要求</w:t>
      </w:r>
    </w:p>
    <w:p w14:paraId="3ACDD65F">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产水单元包括产水阀、产水管道，将超滤产水输送至反洗水箱和清水池，当水箱液位达到高液位时，水箱补水阀关闭。</w:t>
      </w:r>
    </w:p>
    <w:p w14:paraId="25A3E73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产水系统须自带配套饮用水消毒系统，消毒方式为次氯酸钠投加设备（含计量泵，加药桶及配套）。</w:t>
      </w:r>
    </w:p>
    <w:p w14:paraId="65202182">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（3）反洗过程技术要求</w:t>
      </w:r>
    </w:p>
    <w:p w14:paraId="26EF0F4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运行过程中，进水中的颗粒物会逐渐累积在膜的外表面，使过滤系统的跨膜压差增加，超滤系统要停止过滤，进行周期性的反洗。</w:t>
      </w:r>
    </w:p>
    <w:p w14:paraId="7340E40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反洗过程一方面将超滤产水反向透过中空纤维膜，同时，在膜堆底部通过气冲擦洗中空纤维膜丝表面，增强沉积物的去除效果。反洗结束后，将膜池中的液体排到废液池或污水管，反洗过程约2-5min。</w:t>
      </w:r>
    </w:p>
    <w:p w14:paraId="50E0F82A">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（4）排污过程技术要求</w:t>
      </w:r>
    </w:p>
    <w:p w14:paraId="1574C74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管道清洗废水、膜组件首次冲洗废水、气水反洗废水、化学清洗废水等都需要通过排污单元排出超滤系统，排污单元主要由阀门和管道组成。</w:t>
      </w:r>
    </w:p>
    <w:p w14:paraId="34AB1685">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（5）化学清洗过程技术要求</w:t>
      </w:r>
    </w:p>
    <w:p w14:paraId="70B33C87">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超滤系统的化学清洗可分为维护性化学清洗和恢复性化学清洗两种，小规模设备采用维护性化学清洗的方式增强膜通量的恢复效果，中型及大规模的超滤设备增加恢复性化学清洗单元。</w:t>
      </w:r>
    </w:p>
    <w:p w14:paraId="15EF1A6D">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维护性化学清洗通常在物理反洗过程中增加低浓度NaClO溶液（200-500mg/L），浸泡超滤膜组件约30min，清洗周期为2-7d，自动运行。</w:t>
      </w:r>
    </w:p>
    <w:p w14:paraId="7AB92971">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恢复性化学清洗利用化洗泵将化洗箱内的化学清洗液送入超滤膜组件，进行循环清洗和浸泡，依靠药剂的化学作用去除膜表面的污垢，从而恢复膜通量。清洗单元包括化洗箱、化洗泵、化洗阀、回流阀、管道等。</w:t>
      </w:r>
    </w:p>
    <w:p w14:paraId="2DF9AB5D">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恢复性化学清洗过程分一步或多步（碱洗，碱+氯洗，酸洗）完成，碱洗液为0.5-1.0%的NaOH溶液，碱+氯洗液为0.02-0.1%NaOH溶液+500-1500mg/L的NaClO溶液，酸洗液为0.05-0.2%的HCl溶液或1%-2%的草酸/柠檬酸溶液，根据主要污染物的化学性质选择适合的清洗液。恢复性化学清洗后，在设计的跨膜压差范围内，系统产水量应达到或接近原设计要求，否则需再次进行化学清洗或缩短物理清洗和化学清洗的间隔时间。</w:t>
      </w:r>
    </w:p>
    <w:p w14:paraId="331FD718">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（6）系统操作技术要求</w:t>
      </w:r>
    </w:p>
    <w:p w14:paraId="5D9E6A7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膜处理系统采用全自动化运行，必要时操作员可进行手动操作和干预。操作程序简单易懂，操作人员易于修改。一般情况下，膜系统自动在生产和反冲模式下转换。恢复性清洗则需手动启动，然后PLC会按程序设定自动完成其余操作程序。设备电源和信号需具备防雷装置，室外相连接的仪表、机电设备的模拟信号、数字信号的回路上及电源回路上均应提供避雷，防浪涌电压保护装置。PLC柜内开关量采用中间继电器隔离，模拟量采用信号隔离器+信号避雷器设计。</w:t>
      </w:r>
    </w:p>
    <w:p w14:paraId="3624CE1C">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宋体" w:hAnsi="宋体" w:eastAsia="宋体" w:cs="宋体"/>
          <w:b/>
          <w:bCs/>
          <w:sz w:val="24"/>
          <w:szCs w:val="24"/>
          <w:lang w:val="en-US" w:eastAsia="zh-CN"/>
        </w:rPr>
      </w:pPr>
      <w:bookmarkStart w:id="28" w:name="_Hlk148432099"/>
      <w:bookmarkStart w:id="29" w:name="_Toc17625"/>
      <w:bookmarkStart w:id="30" w:name="_Toc5804"/>
      <w:bookmarkStart w:id="31" w:name="_Toc2525052"/>
      <w:bookmarkStart w:id="32" w:name="_Toc8558561"/>
      <w:bookmarkStart w:id="33" w:name="_Toc8558560"/>
      <w:bookmarkStart w:id="34" w:name="_Toc29697"/>
      <w:bookmarkStart w:id="35" w:name="_Toc16211"/>
      <w:bookmarkStart w:id="36" w:name="_Toc2525051"/>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PLC需采用国内主流控制器及触摸屏需采用10</w:t>
      </w:r>
      <w:r>
        <w:rPr>
          <w:rFonts w:hint="eastAsia" w:ascii="宋体" w:hAnsi="宋体" w:eastAsia="宋体" w:cs="宋体"/>
          <w:sz w:val="24"/>
          <w:szCs w:val="24"/>
          <w:lang w:val="en-US" w:eastAsia="zh-CN"/>
        </w:rPr>
        <w:t>寸</w:t>
      </w:r>
      <w:r>
        <w:rPr>
          <w:rFonts w:hint="eastAsia" w:ascii="宋体" w:hAnsi="宋体" w:eastAsia="宋体" w:cs="宋体"/>
          <w:sz w:val="24"/>
          <w:szCs w:val="24"/>
        </w:rPr>
        <w:t>真彩触摸屏</w:t>
      </w:r>
      <w:r>
        <w:rPr>
          <w:rFonts w:hint="eastAsia" w:ascii="宋体" w:hAnsi="宋体" w:eastAsia="宋体" w:cs="宋体"/>
          <w:sz w:val="24"/>
          <w:szCs w:val="24"/>
          <w:lang w:eastAsia="zh-CN"/>
        </w:rPr>
        <w:t>。</w:t>
      </w:r>
    </w:p>
    <w:p w14:paraId="2BDFD4A0">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（8）智能管控系统技术要求</w:t>
      </w:r>
    </w:p>
    <w:p w14:paraId="36FCAEDC">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智能管控系统</w:t>
      </w:r>
      <w:bookmarkEnd w:id="28"/>
      <w:r>
        <w:rPr>
          <w:rFonts w:hint="eastAsia" w:ascii="宋体" w:hAnsi="宋体" w:eastAsia="宋体" w:cs="宋体"/>
          <w:sz w:val="24"/>
          <w:szCs w:val="24"/>
        </w:rPr>
        <w:t>需满足水厂智慧化运营和设备智慧化管理，同时满足手机端(小程序)远程监控。需可以实时查询：设备运行工况，数据统计分析、工艺流程展示、视频安防监控等。</w:t>
      </w:r>
    </w:p>
    <w:bookmarkEnd w:id="29"/>
    <w:bookmarkEnd w:id="30"/>
    <w:bookmarkEnd w:id="31"/>
    <w:bookmarkEnd w:id="32"/>
    <w:bookmarkEnd w:id="33"/>
    <w:bookmarkEnd w:id="34"/>
    <w:bookmarkEnd w:id="35"/>
    <w:bookmarkEnd w:id="36"/>
    <w:p w14:paraId="6DD1F7FE">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①</w:t>
      </w:r>
      <w:r>
        <w:rPr>
          <w:rFonts w:hint="eastAsia" w:ascii="宋体" w:hAnsi="宋体" w:eastAsia="宋体" w:cs="宋体"/>
          <w:sz w:val="24"/>
          <w:szCs w:val="24"/>
        </w:rPr>
        <w:t>远程监测优质供水处理设备、进水压力、进水流量、出水压力、出水流量。</w:t>
      </w:r>
    </w:p>
    <w:p w14:paraId="2E0D6A5A">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②</w:t>
      </w:r>
      <w:r>
        <w:rPr>
          <w:rFonts w:hint="eastAsia" w:ascii="宋体" w:hAnsi="宋体" w:eastAsia="宋体" w:cs="宋体"/>
          <w:sz w:val="24"/>
          <w:szCs w:val="24"/>
        </w:rPr>
        <w:t>光纤通信时，支持视频在线监视泵站全景、电气控制室等重要工位，视频可回放。</w:t>
      </w:r>
    </w:p>
    <w:p w14:paraId="57789D2F">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③</w:t>
      </w:r>
      <w:r>
        <w:rPr>
          <w:rFonts w:hint="eastAsia" w:ascii="宋体" w:hAnsi="宋体" w:eastAsia="宋体" w:cs="宋体"/>
          <w:sz w:val="24"/>
          <w:szCs w:val="24"/>
        </w:rPr>
        <w:t>支持各种监测信息、控制信息、报警信息、操作信息的存储和查询。</w:t>
      </w:r>
    </w:p>
    <w:p w14:paraId="779493BA">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④</w:t>
      </w:r>
      <w:r>
        <w:rPr>
          <w:rFonts w:hint="eastAsia" w:ascii="宋体" w:hAnsi="宋体" w:eastAsia="宋体" w:cs="宋体"/>
          <w:sz w:val="24"/>
          <w:szCs w:val="24"/>
        </w:rPr>
        <w:t>生成各种数据报表及数据曲线。</w:t>
      </w:r>
    </w:p>
    <w:p w14:paraId="376A2C5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⑤</w:t>
      </w:r>
      <w:r>
        <w:rPr>
          <w:rFonts w:hint="eastAsia" w:ascii="宋体" w:hAnsi="宋体" w:eastAsia="宋体" w:cs="宋体"/>
          <w:sz w:val="24"/>
          <w:szCs w:val="24"/>
        </w:rPr>
        <w:t>预留智慧水务平台介入端口，配置有网关、防火墙、远程控制系统。</w:t>
      </w:r>
    </w:p>
    <w:p w14:paraId="26108712">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（9）超滤设备相关技术参数要求</w:t>
      </w:r>
    </w:p>
    <w:p w14:paraId="305F5F81">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①膜过滤跨膜压差：0MPa～0.08MPa</w:t>
      </w:r>
    </w:p>
    <w:p w14:paraId="14348254">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②设计通量：</w:t>
      </w:r>
      <w:r>
        <w:rPr>
          <w:rFonts w:hint="eastAsia" w:ascii="宋体" w:hAnsi="宋体" w:eastAsia="宋体" w:cs="宋体"/>
          <w:sz w:val="24"/>
          <w:szCs w:val="24"/>
          <w:lang w:val="en-US" w:eastAsia="zh-CN"/>
        </w:rPr>
        <w:t>15~35</w:t>
      </w:r>
      <w:r>
        <w:rPr>
          <w:rFonts w:hint="eastAsia" w:ascii="宋体" w:hAnsi="宋体" w:eastAsia="宋体" w:cs="宋体"/>
          <w:sz w:val="24"/>
          <w:szCs w:val="24"/>
        </w:rPr>
        <w:t>L/m2·h</w:t>
      </w:r>
    </w:p>
    <w:p w14:paraId="00356E8D">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single"/>
        </w:rPr>
        <w:t>★③膜</w:t>
      </w:r>
      <w:r>
        <w:rPr>
          <w:rFonts w:hint="eastAsia" w:ascii="宋体" w:hAnsi="宋体" w:eastAsia="宋体" w:cs="宋体"/>
          <w:b w:val="0"/>
          <w:bCs w:val="0"/>
          <w:sz w:val="24"/>
          <w:szCs w:val="24"/>
          <w:u w:val="single"/>
          <w:lang w:eastAsia="zh-CN"/>
        </w:rPr>
        <w:t>的</w:t>
      </w:r>
      <w:r>
        <w:rPr>
          <w:rFonts w:hint="eastAsia" w:ascii="宋体" w:hAnsi="宋体" w:eastAsia="宋体" w:cs="宋体"/>
          <w:b w:val="0"/>
          <w:bCs w:val="0"/>
          <w:sz w:val="24"/>
          <w:szCs w:val="24"/>
          <w:u w:val="single"/>
          <w:lang w:val="en-US" w:eastAsia="zh-CN"/>
        </w:rPr>
        <w:t>截留率＞90%（30nm荧光粒子测试）</w:t>
      </w:r>
      <w:r>
        <w:rPr>
          <w:rFonts w:hint="eastAsia" w:ascii="宋体" w:hAnsi="宋体" w:eastAsia="宋体" w:cs="宋体"/>
          <w:b w:val="0"/>
          <w:bCs w:val="0"/>
          <w:sz w:val="24"/>
          <w:szCs w:val="24"/>
          <w:u w:val="single"/>
          <w:lang w:eastAsia="zh-CN"/>
        </w:rPr>
        <w:t>（</w:t>
      </w:r>
      <w:r>
        <w:rPr>
          <w:rFonts w:hint="eastAsia" w:ascii="宋体" w:hAnsi="宋体" w:eastAsia="宋体" w:cs="宋体"/>
          <w:b w:val="0"/>
          <w:bCs w:val="0"/>
          <w:sz w:val="24"/>
          <w:szCs w:val="24"/>
          <w:u w:val="single"/>
          <w:lang w:val="en-US" w:eastAsia="zh-CN"/>
        </w:rPr>
        <w:t>提供带CMA或CNAS标识的第三方权威检测机构出具的检测报告作为证明材料</w:t>
      </w:r>
      <w:r>
        <w:rPr>
          <w:rFonts w:hint="eastAsia" w:ascii="宋体" w:hAnsi="宋体" w:eastAsia="宋体" w:cs="宋体"/>
          <w:b w:val="0"/>
          <w:bCs w:val="0"/>
          <w:sz w:val="24"/>
          <w:szCs w:val="24"/>
          <w:u w:val="single"/>
          <w:lang w:eastAsia="zh-CN"/>
        </w:rPr>
        <w:t>）</w:t>
      </w:r>
    </w:p>
    <w:p w14:paraId="5883CBD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rPr>
        <w:t>★④超滤膜材质：PVDF</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提供第三方权威检测机构出具的检测报告作为证明材料</w:t>
      </w:r>
      <w:r>
        <w:rPr>
          <w:rFonts w:hint="eastAsia" w:ascii="宋体" w:hAnsi="宋体" w:eastAsia="宋体" w:cs="宋体"/>
          <w:sz w:val="24"/>
          <w:szCs w:val="24"/>
          <w:u w:val="single"/>
          <w:lang w:eastAsia="zh-CN"/>
        </w:rPr>
        <w:t>）</w:t>
      </w:r>
    </w:p>
    <w:p w14:paraId="61FE4F7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⑤产水浊度：小于0.1NTU</w:t>
      </w:r>
    </w:p>
    <w:p w14:paraId="4A7DFC2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⑥大肠杆菌去除率：大于6 log</w:t>
      </w:r>
    </w:p>
    <w:p w14:paraId="769CFDA8">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⑦膜适应原水PH范围：2～11</w:t>
      </w:r>
    </w:p>
    <w:p w14:paraId="5A7B4D78">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⑧最高工作温度：40 ℃</w:t>
      </w:r>
    </w:p>
    <w:p w14:paraId="68544C47">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⑨设备出水水质达到《生活饮用水卫生标准》（GB5749-2022）的要求。</w:t>
      </w:r>
    </w:p>
    <w:p w14:paraId="64E7147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rPr>
        <w:t>★⑩纯水通量</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2000L/m2·h</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提供带CMA或CNAS标识的第三方权威检测机构出具的检测报告作为证明材料</w:t>
      </w:r>
      <w:r>
        <w:rPr>
          <w:rFonts w:hint="eastAsia" w:ascii="宋体" w:hAnsi="宋体" w:eastAsia="宋体" w:cs="宋体"/>
          <w:sz w:val="24"/>
          <w:szCs w:val="24"/>
          <w:u w:val="single"/>
          <w:lang w:eastAsia="zh-CN"/>
        </w:rPr>
        <w:t>）</w:t>
      </w:r>
    </w:p>
    <w:p w14:paraId="16C34C93">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rPr>
        <w:t>★⑪</w:t>
      </w:r>
      <w:r>
        <w:rPr>
          <w:rFonts w:hint="eastAsia" w:ascii="宋体" w:hAnsi="宋体" w:eastAsia="宋体" w:cs="宋体"/>
          <w:sz w:val="24"/>
          <w:szCs w:val="24"/>
          <w:u w:val="single"/>
          <w:lang w:val="en-US" w:eastAsia="zh-CN"/>
        </w:rPr>
        <w:t>平均断裂拉伸强力＞700</w:t>
      </w:r>
      <w:r>
        <w:rPr>
          <w:rFonts w:hint="eastAsia" w:ascii="宋体" w:hAnsi="宋体" w:eastAsia="宋体" w:cs="宋体"/>
          <w:sz w:val="24"/>
          <w:szCs w:val="24"/>
          <w:u w:val="single"/>
        </w:rPr>
        <w:t>00</w:t>
      </w:r>
      <w:r>
        <w:rPr>
          <w:rFonts w:hint="eastAsia" w:ascii="宋体" w:hAnsi="宋体" w:eastAsia="宋体" w:cs="宋体"/>
          <w:sz w:val="24"/>
          <w:szCs w:val="24"/>
          <w:u w:val="single"/>
          <w:lang w:val="en-US" w:eastAsia="zh-CN"/>
        </w:rPr>
        <w:t>c</w:t>
      </w:r>
      <w:r>
        <w:rPr>
          <w:rFonts w:hint="eastAsia" w:ascii="宋体" w:hAnsi="宋体" w:eastAsia="宋体" w:cs="宋体"/>
          <w:sz w:val="24"/>
          <w:szCs w:val="24"/>
          <w:u w:val="single"/>
        </w:rPr>
        <w:t>N</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提供带CMA或CNAS标识的第三方权威检测机构出具的检测报告作为证明材料</w:t>
      </w:r>
      <w:r>
        <w:rPr>
          <w:rFonts w:hint="eastAsia" w:ascii="宋体" w:hAnsi="宋体" w:eastAsia="宋体" w:cs="宋体"/>
          <w:sz w:val="24"/>
          <w:szCs w:val="24"/>
          <w:u w:val="single"/>
          <w:lang w:eastAsia="zh-CN"/>
        </w:rPr>
        <w:t>）</w:t>
      </w:r>
    </w:p>
    <w:p w14:paraId="0C580024">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rPr>
        <w:t>★⑫</w:t>
      </w:r>
      <w:r>
        <w:rPr>
          <w:rFonts w:hint="eastAsia" w:ascii="宋体" w:hAnsi="宋体" w:eastAsia="宋体" w:cs="宋体"/>
          <w:sz w:val="24"/>
          <w:szCs w:val="24"/>
          <w:u w:val="single"/>
          <w:lang w:eastAsia="zh-CN"/>
        </w:rPr>
        <w:t>膜材料在化学清洗中，</w:t>
      </w:r>
      <w:r>
        <w:rPr>
          <w:rFonts w:hint="eastAsia" w:ascii="宋体" w:hAnsi="宋体" w:eastAsia="宋体" w:cs="宋体"/>
          <w:sz w:val="24"/>
          <w:szCs w:val="24"/>
          <w:u w:val="single"/>
          <w:lang w:val="en-US" w:eastAsia="zh-CN"/>
        </w:rPr>
        <w:t>10%强酸、10%强碱浓度下，浸泡≥24h无颜色变化</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提供第三方权威检测机构出具的检测报告作为证明材料</w:t>
      </w:r>
      <w:r>
        <w:rPr>
          <w:rFonts w:hint="eastAsia" w:ascii="宋体" w:hAnsi="宋体" w:eastAsia="宋体" w:cs="宋体"/>
          <w:sz w:val="24"/>
          <w:szCs w:val="24"/>
          <w:u w:val="single"/>
          <w:lang w:eastAsia="zh-CN"/>
        </w:rPr>
        <w:t>）</w:t>
      </w:r>
    </w:p>
    <w:p w14:paraId="2335864F">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u w:val="single"/>
        </w:rPr>
      </w:pP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⑬投标时提供</w:t>
      </w:r>
      <w:r>
        <w:rPr>
          <w:rFonts w:hint="eastAsia" w:ascii="宋体" w:hAnsi="宋体" w:eastAsia="宋体" w:cs="宋体"/>
          <w:sz w:val="24"/>
          <w:szCs w:val="24"/>
          <w:u w:val="single"/>
        </w:rPr>
        <w:t>超滤膜组件</w:t>
      </w:r>
      <w:r>
        <w:rPr>
          <w:rFonts w:hint="eastAsia" w:ascii="宋体" w:hAnsi="宋体" w:eastAsia="宋体" w:cs="宋体"/>
          <w:sz w:val="24"/>
          <w:szCs w:val="24"/>
          <w:u w:val="single"/>
          <w:lang w:val="en-US" w:eastAsia="zh-CN"/>
        </w:rPr>
        <w:t>及</w:t>
      </w:r>
      <w:r>
        <w:rPr>
          <w:rFonts w:hint="eastAsia" w:ascii="宋体" w:hAnsi="宋体" w:eastAsia="宋体" w:cs="宋体"/>
          <w:sz w:val="24"/>
          <w:szCs w:val="24"/>
          <w:u w:val="single"/>
        </w:rPr>
        <w:t>超滤净水设备涉及饮用水卫生安全许可批件</w:t>
      </w:r>
      <w:r>
        <w:rPr>
          <w:rFonts w:hint="eastAsia" w:ascii="宋体" w:hAnsi="宋体" w:cs="宋体"/>
          <w:sz w:val="24"/>
          <w:szCs w:val="24"/>
          <w:u w:val="single"/>
          <w:lang w:val="en-US" w:eastAsia="zh-CN"/>
        </w:rPr>
        <w:t>复印件</w:t>
      </w:r>
      <w:r>
        <w:rPr>
          <w:rFonts w:hint="eastAsia" w:ascii="宋体" w:hAnsi="宋体" w:eastAsia="宋体" w:cs="宋体"/>
          <w:sz w:val="24"/>
          <w:szCs w:val="24"/>
          <w:u w:val="single"/>
        </w:rPr>
        <w:t>。</w:t>
      </w:r>
    </w:p>
    <w:p w14:paraId="78460292">
      <w:pPr>
        <w:pStyle w:val="4"/>
        <w:pageBreakBefore w:val="0"/>
        <w:widowControl w:val="0"/>
        <w:kinsoku/>
        <w:wordWrap/>
        <w:overflowPunct/>
        <w:topLinePunct w:val="0"/>
        <w:autoSpaceDE/>
        <w:autoSpaceDN/>
        <w:bidi w:val="0"/>
        <w:spacing w:before="120" w:beforeLines="0" w:after="120" w:afterLines="0" w:line="400" w:lineRule="exact"/>
        <w:ind w:left="0" w:right="0" w:firstLine="0"/>
        <w:jc w:val="both"/>
        <w:rPr>
          <w:rFonts w:hint="eastAsia" w:ascii="宋体" w:hAnsi="宋体" w:eastAsia="宋体" w:cs="宋体"/>
          <w:b/>
          <w:bCs/>
          <w:color w:val="000000"/>
          <w:spacing w:val="0"/>
          <w:sz w:val="24"/>
          <w:szCs w:val="24"/>
          <w:highlight w:val="none"/>
          <w:lang w:val="en-US" w:eastAsia="zh-CN"/>
        </w:rPr>
      </w:pPr>
      <w:r>
        <w:rPr>
          <w:rFonts w:hint="eastAsia" w:ascii="宋体" w:hAnsi="宋体" w:eastAsia="宋体" w:cs="宋体"/>
          <w:b/>
          <w:bCs/>
          <w:color w:val="000000"/>
          <w:spacing w:val="0"/>
          <w:sz w:val="24"/>
          <w:szCs w:val="24"/>
          <w:highlight w:val="none"/>
          <w:lang w:val="en-US" w:eastAsia="zh-CN"/>
        </w:rPr>
        <w:t>（三）水质在线分析仪</w:t>
      </w:r>
    </w:p>
    <w:p w14:paraId="2AF1E9FB">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宋体" w:hAnsi="宋体" w:eastAsia="宋体" w:cs="宋体"/>
          <w:b/>
          <w:bCs/>
          <w:sz w:val="24"/>
          <w:szCs w:val="24"/>
          <w:lang w:val="en-US" w:eastAsia="zh-CN"/>
        </w:rPr>
      </w:pPr>
      <w:bookmarkStart w:id="37" w:name="_Toc459640737"/>
      <w:bookmarkStart w:id="38" w:name="_Toc461183507"/>
      <w:bookmarkStart w:id="39" w:name="_Toc459643258"/>
      <w:bookmarkStart w:id="40" w:name="_Toc459643386"/>
      <w:bookmarkStart w:id="41" w:name="_Toc459643514"/>
      <w:bookmarkStart w:id="42" w:name="_Toc459643644"/>
      <w:r>
        <w:rPr>
          <w:rFonts w:hint="eastAsia" w:ascii="宋体" w:hAnsi="宋体" w:eastAsia="宋体" w:cs="宋体"/>
          <w:b/>
          <w:bCs/>
          <w:sz w:val="24"/>
          <w:szCs w:val="24"/>
          <w:lang w:val="en-US" w:eastAsia="zh-CN"/>
        </w:rPr>
        <w:t>（1）浊度传感器技术参数</w:t>
      </w:r>
    </w:p>
    <w:p w14:paraId="4151B37C">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①测量范围：浊度：0～20/50/100NTU（量程自动切）；</w:t>
      </w:r>
    </w:p>
    <w:p w14:paraId="6ED1F6C4">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②工作原理：90°散射光法</w:t>
      </w:r>
    </w:p>
    <w:p w14:paraId="4B17000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③光源：LED光源</w:t>
      </w:r>
    </w:p>
    <w:p w14:paraId="115D1058">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★④分辨率：0.0001NTU</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提供第三方权威检测机构出具的检测报告作为证明材料</w:t>
      </w:r>
      <w:r>
        <w:rPr>
          <w:rFonts w:hint="eastAsia" w:ascii="宋体" w:hAnsi="宋体" w:eastAsia="宋体" w:cs="宋体"/>
          <w:sz w:val="24"/>
          <w:szCs w:val="24"/>
          <w:u w:val="single"/>
          <w:lang w:eastAsia="zh-CN"/>
        </w:rPr>
        <w:t>）</w:t>
      </w:r>
    </w:p>
    <w:p w14:paraId="3C7701C7">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⑤重复性：±2%</w:t>
      </w:r>
    </w:p>
    <w:p w14:paraId="2F7C6A7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⑥零点漂移（24H）:±3%FS</w:t>
      </w:r>
    </w:p>
    <w:p w14:paraId="244B728F">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⑦量程漂移（24H）：±3%FS</w:t>
      </w:r>
    </w:p>
    <w:p w14:paraId="3971F47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⑧响应时间：≤30S</w:t>
      </w:r>
    </w:p>
    <w:p w14:paraId="639749DD">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⑨示值误差：±2%或±0.02NTU（取最大者）</w:t>
      </w:r>
    </w:p>
    <w:p w14:paraId="127966B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★⑩实际水样对比：±10%</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提供第三方权威检测机构出具的检测报告作为证明材料</w:t>
      </w:r>
      <w:r>
        <w:rPr>
          <w:rFonts w:hint="eastAsia" w:ascii="宋体" w:hAnsi="宋体" w:eastAsia="宋体" w:cs="宋体"/>
          <w:sz w:val="24"/>
          <w:szCs w:val="24"/>
          <w:u w:val="single"/>
          <w:lang w:eastAsia="zh-CN"/>
        </w:rPr>
        <w:t>）</w:t>
      </w:r>
    </w:p>
    <w:p w14:paraId="5FF44E80">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（2）余氯传感器技术参数</w:t>
      </w:r>
    </w:p>
    <w:p w14:paraId="1C921A38">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①余氯测量范围：0 ～ 5（20）mg/L ；</w:t>
      </w:r>
    </w:p>
    <w:p w14:paraId="4BFB89E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u w:val="single"/>
          <w:lang w:val="en-US" w:eastAsia="zh-CN"/>
        </w:rPr>
        <w:t>★②分辨率：0.01mg/L</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提供第三方权威检测机构出具的检测报告作为证明材料</w:t>
      </w:r>
      <w:r>
        <w:rPr>
          <w:rFonts w:hint="eastAsia" w:ascii="宋体" w:hAnsi="宋体" w:eastAsia="宋体" w:cs="宋体"/>
          <w:sz w:val="24"/>
          <w:szCs w:val="24"/>
          <w:u w:val="single"/>
          <w:lang w:eastAsia="zh-CN"/>
        </w:rPr>
        <w:t>）</w:t>
      </w:r>
    </w:p>
    <w:p w14:paraId="6D42D76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③工作原理：三电极恒电位法 ，不更换电极，支持现场余氯、二氧化氯测量模式切换；</w:t>
      </w:r>
    </w:p>
    <w:p w14:paraId="7CBF2AAD">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④重复性：±3%</w:t>
      </w:r>
    </w:p>
    <w:p w14:paraId="7290947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⑤零点漂移（24H）：±2%FS</w:t>
      </w:r>
    </w:p>
    <w:p w14:paraId="3002B67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⑥响应时间：≤60S</w:t>
      </w:r>
    </w:p>
    <w:p w14:paraId="527B3B9C">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⑦测量下限：0.02mg/L</w:t>
      </w:r>
    </w:p>
    <w:p w14:paraId="6031DD8E">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⑧示值误差：±0.05mg/L</w:t>
      </w:r>
    </w:p>
    <w:p w14:paraId="0469ACD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★⑨实际水样对比：±0.05 mg/L（≤0.1 mg/L时），＜10%（＞0.1 mg/L时）</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提供第三方权威检测机构出具的检测报告作为证明材料</w:t>
      </w:r>
      <w:r>
        <w:rPr>
          <w:rFonts w:hint="eastAsia" w:ascii="宋体" w:hAnsi="宋体" w:eastAsia="宋体" w:cs="宋体"/>
          <w:sz w:val="24"/>
          <w:szCs w:val="24"/>
          <w:u w:val="single"/>
          <w:lang w:eastAsia="zh-CN"/>
        </w:rPr>
        <w:t>）</w:t>
      </w:r>
    </w:p>
    <w:p w14:paraId="09E7A6A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⑩具备自带清洗免维护功能</w:t>
      </w:r>
    </w:p>
    <w:p w14:paraId="4D20A277">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（3）pH传感器技术参数</w:t>
      </w:r>
    </w:p>
    <w:p w14:paraId="1F43A36C">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①测量范围： 0 ～ 14 pH</w:t>
      </w:r>
    </w:p>
    <w:p w14:paraId="0B5E331F">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②工作原理：电极法 </w:t>
      </w:r>
    </w:p>
    <w:p w14:paraId="2AF6AA94">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③电极材料：玻璃电极</w:t>
      </w:r>
    </w:p>
    <w:p w14:paraId="640A210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★④分辨率：0.01pH</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提供第三方权威检测机构出具的检测报告作为证明材料</w:t>
      </w:r>
      <w:r>
        <w:rPr>
          <w:rFonts w:hint="eastAsia" w:ascii="宋体" w:hAnsi="宋体" w:eastAsia="宋体" w:cs="宋体"/>
          <w:sz w:val="24"/>
          <w:szCs w:val="24"/>
          <w:u w:val="single"/>
          <w:lang w:eastAsia="zh-CN"/>
        </w:rPr>
        <w:t>）</w:t>
      </w:r>
    </w:p>
    <w:p w14:paraId="0D853BDF">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⑤重复性：±0.1pH</w:t>
      </w:r>
    </w:p>
    <w:p w14:paraId="25CD8CA3">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⑥漂移（24H）:±0.1pH</w:t>
      </w:r>
    </w:p>
    <w:p w14:paraId="787C1CE1">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⑦温度补偿精度：±0.1pH</w:t>
      </w:r>
    </w:p>
    <w:p w14:paraId="4FC2E77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⑧示值误差：±0.1 pH;</w:t>
      </w:r>
    </w:p>
    <w:p w14:paraId="7685394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⑨响应时间：T90 &lt; 30秒</w:t>
      </w:r>
    </w:p>
    <w:p w14:paraId="2CA64DC4">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val="en-US" w:eastAsia="zh-CN"/>
        </w:rPr>
        <w:t>★⑩实际水样对比：±0.1pH</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提供第三方权威检测机构出具的检测报告作为证明材料</w:t>
      </w:r>
      <w:r>
        <w:rPr>
          <w:rFonts w:hint="eastAsia" w:ascii="宋体" w:hAnsi="宋体" w:eastAsia="宋体" w:cs="宋体"/>
          <w:sz w:val="24"/>
          <w:szCs w:val="24"/>
          <w:u w:val="single"/>
          <w:lang w:eastAsia="zh-CN"/>
        </w:rPr>
        <w:t>）</w:t>
      </w:r>
    </w:p>
    <w:p w14:paraId="7473A367">
      <w:pPr>
        <w:pStyle w:val="4"/>
        <w:pageBreakBefore w:val="0"/>
        <w:widowControl w:val="0"/>
        <w:kinsoku/>
        <w:wordWrap/>
        <w:overflowPunct/>
        <w:topLinePunct w:val="0"/>
        <w:autoSpaceDE/>
        <w:autoSpaceDN/>
        <w:bidi w:val="0"/>
        <w:spacing w:before="120" w:beforeLines="0" w:after="120" w:afterLines="0" w:line="400" w:lineRule="exact"/>
        <w:ind w:left="0" w:right="0" w:firstLine="0"/>
        <w:jc w:val="both"/>
        <w:rPr>
          <w:rFonts w:hint="eastAsia" w:ascii="宋体" w:hAnsi="宋体" w:eastAsia="宋体" w:cs="宋体"/>
          <w:b/>
          <w:bCs/>
          <w:color w:val="000000"/>
          <w:spacing w:val="0"/>
          <w:sz w:val="24"/>
          <w:szCs w:val="24"/>
          <w:highlight w:val="none"/>
          <w:lang w:val="en-US" w:eastAsia="zh-CN"/>
        </w:rPr>
      </w:pPr>
      <w:r>
        <w:rPr>
          <w:rFonts w:hint="eastAsia" w:ascii="宋体" w:hAnsi="宋体" w:eastAsia="宋体" w:cs="宋体"/>
          <w:b/>
          <w:bCs/>
          <w:color w:val="000000"/>
          <w:spacing w:val="0"/>
          <w:sz w:val="24"/>
          <w:szCs w:val="24"/>
          <w:highlight w:val="none"/>
          <w:lang w:val="en-US" w:eastAsia="zh-CN"/>
        </w:rPr>
        <w:t>（四）蝶阀</w:t>
      </w:r>
    </w:p>
    <w:p w14:paraId="6E28C6AD">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4.1一般要求</w:t>
      </w:r>
    </w:p>
    <w:p w14:paraId="6BAB6F33">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4.1.1</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投标人应提供适合于招标设备清单中要求的完整、成套的标准化蝶阀产品(含驱动涡轮)，电动蝶阀应包括阀门和电动驱动装置。</w:t>
      </w:r>
    </w:p>
    <w:p w14:paraId="4E246093">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4.1.2</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蝶阀的输送介质为水，介质最高温度≤45℃。</w:t>
      </w:r>
    </w:p>
    <w:p w14:paraId="5FFCAFC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4.1.3</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投标人应当确保所提供的蝶阀在合适的时间和良好的状态下供应和安装，以保证工程的顺利进行。</w:t>
      </w:r>
    </w:p>
    <w:p w14:paraId="6B3353E1">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4.2技术性能</w:t>
      </w:r>
    </w:p>
    <w:p w14:paraId="781E736A">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4.2.1</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所有蝶阀均应按招标设备清单中要求的压力设计。</w:t>
      </w:r>
    </w:p>
    <w:p w14:paraId="572D932F">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4.2.2</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蝶阀要符合流体力学性质，并应具有足够的刚度和强度，阀门流阻系数应不大于0.2。</w:t>
      </w:r>
    </w:p>
    <w:p w14:paraId="05F01B91">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4.2.3</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蝶阀应能双向承压，正、反两方向的承受压力均为阀门的额定压力。阀门关闭时蝶板和阀座密封性能良好，阀门保持100%零泄漏。</w:t>
      </w:r>
    </w:p>
    <w:p w14:paraId="0F4CD82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4.2.4</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蝶阀法兰连接尺寸和密封面的形状、尺寸应符合GB/T17241.6-2008的要求。</w:t>
      </w:r>
    </w:p>
    <w:p w14:paraId="7F3D990E">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4.2.5</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阀门应在适当部位浇铸出凸出的文字，注明商标、制造年份、工作压力、公称直径、水流方向。</w:t>
      </w:r>
    </w:p>
    <w:p w14:paraId="15FF767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4.2.6</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在生产厂内检验时，阀门应进行密封性能试验。给阀门的一个端头施以试验压力，壳体试验压力为阀门工作压力的1.5倍，要求密封试验压力为阀门工作压力的1.25倍，整个试验持续时间最少为10分钟，要求在阀门完全关闭或打开至±2°时能达到完全密封，泄漏量为零。</w:t>
      </w:r>
    </w:p>
    <w:p w14:paraId="1C549E0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4.3结构形式</w:t>
      </w:r>
    </w:p>
    <w:p w14:paraId="729EDB9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4.3.1</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法兰式蝶阀</w:t>
      </w:r>
    </w:p>
    <w:p w14:paraId="5730840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4.3.1.1</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法兰式蝶阀应采用双偏心双法兰长结构一体式铸造阀体，符合GB12221-89双法兰连接蝶阀长系列尺寸。</w:t>
      </w:r>
    </w:p>
    <w:p w14:paraId="2AED412E">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4.3.1. 2</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密封形式如为软密封型式：橡胶密封圈以整体嵌入形式固定在阀瓣上，且有一定的嵌入自由度, 能在一定范围内自身调节密封，以保证在压力变化较大的情况下，阀门都能严密关闭。橡胶密封圈拆装应容易更换，并可在线更换，以保证阀门使用的长效性。</w:t>
      </w:r>
    </w:p>
    <w:p w14:paraId="103262C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4.3.1.3</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密封形式如为硬密封的形式：阀座采用不锈钢，阀瓣密封面采用堆焊不锈钢，耐腐蚀，使用寿命长。</w:t>
      </w:r>
    </w:p>
    <w:p w14:paraId="1008A96A">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4.3.1.4</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阀瓣可采用多流道导流式结构，在水流速较高时，阀瓣不得出现颤抖现象，确保阀门的稳固性。</w:t>
      </w:r>
    </w:p>
    <w:p w14:paraId="0161060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4.3.1.5</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阀轴须为耐磨不锈钢材料，为减少操作力矩，轴套应采用自润式轴承，且无需注油。阀轴密封应为“V”型圈式或“O”型圈式。</w:t>
      </w:r>
    </w:p>
    <w:p w14:paraId="6858B04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4.3.1.6</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轴与阀瓣之间的连接采用自紧式的退拔销结构或内嵌式阀轴大平键设计，应能有效避免两者出现松脱错位现象。</w:t>
      </w:r>
    </w:p>
    <w:p w14:paraId="59143FCF">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4.3.2</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驱动装置</w:t>
      </w:r>
    </w:p>
    <w:p w14:paraId="7DB68F1C">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4.3.2.1</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技术要求和结构特点：</w:t>
      </w:r>
    </w:p>
    <w:p w14:paraId="45D19791">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4.3.2.1.1</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供电电源:AC 220V，50Hz，（其他供电方式可根据客户要求选择） </w:t>
      </w:r>
    </w:p>
    <w:p w14:paraId="319C05E4">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4.3.2.1.2</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根据VDE 0530/IEC34，马达短时负载S2-15分钟，绝缘等级F，并有温控热敏开关连接于控制线路，在温度超过140度时切断线路以保护马达。 </w:t>
      </w:r>
    </w:p>
    <w:p w14:paraId="6C26837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4.3.2.1.3</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根据IEC529，耐候防护等级符合IP67。 </w:t>
      </w:r>
    </w:p>
    <w:p w14:paraId="5B2590E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4.3.2.1.4</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开/关极限位置均配双连限位开关，开和关的方向均配扭矩开关以防过载；开关触点为纯银制作,具有高额定容量(220V AC/5A)，具有手自动切换旋钮。 </w:t>
      </w:r>
    </w:p>
    <w:p w14:paraId="30DB1ED3">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4.3.2.1.5</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配离合式紧急手轮，供现场进行手动操作。当电机启动后，手动机构能自动跳脱。电动装置经切换后，其电动控制和手动控制是排斥的。</w:t>
      </w:r>
    </w:p>
    <w:p w14:paraId="4676163A">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4.3.2.1.6</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自锁定蜗轮、蜗杆传动机构，带机械位置指示器,油脂润滑。</w:t>
      </w:r>
    </w:p>
    <w:p w14:paraId="25B401C1">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4.3.2.1.7</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频率：启动频繁，每小时可启动达1200次，并符合VDE0530/IEC34标准，电动机负载特性为S4-25%。</w:t>
      </w:r>
    </w:p>
    <w:p w14:paraId="3710715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4.3.2.1.8</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减速器箱体材料：球墨铸铁。蜗轮材料青铜。故障时蜗轮和蜗杆能自锁。蜗杆和转动齿轮表面真空渗碳淬火处理。</w:t>
      </w:r>
    </w:p>
    <w:p w14:paraId="51FA3027">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4.3.2.1.9</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电动装置配套的电动机启动转矩是其额定转矩的6倍。</w:t>
      </w:r>
    </w:p>
    <w:p w14:paraId="01743821">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4.3.2.1.10电动执行器可输出全开、全关和事故状态、阀位信号，能接收DC4-20mA输入信号。</w:t>
      </w:r>
    </w:p>
    <w:p w14:paraId="540C12D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4.3.2.2</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电动执行器需满足如下要求：</w:t>
      </w:r>
    </w:p>
    <w:p w14:paraId="0AD020D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4.3.2.2.1</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电动执行器应能适应潮湿的环境，与阀门配套的电动操作机构组装在电动驱动装置内，由制造厂在装箱之前就装配并调好，电动阀操作机构应装有扭矩限制器及阀门开度4～20mA信号输出。在驱动装置上应能手动控制阀门开停，并装有手动及远控转换开关，放在远控位置时，可实现远方控制或PLC控制。</w:t>
      </w:r>
    </w:p>
    <w:p w14:paraId="2659D7C8">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4.3.2.2.2</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执行器应带显示屏,可以显示阀位和力矩及当前的操作，报警状况以及控制旋钮的位置。参数采用中文菜单显示，更易于设置和观察。</w:t>
      </w:r>
    </w:p>
    <w:p w14:paraId="364A34F3">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4.3.2.2.3</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阀位控制精度小于0.5%。</w:t>
      </w:r>
    </w:p>
    <w:p w14:paraId="01C489ED">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4.3.2.2.4</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自动调节式防潮电热器能全时间加热防止水气凝结。</w:t>
      </w:r>
    </w:p>
    <w:p w14:paraId="417340A3">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4.3.2.2.5</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连接器：槽环接器即终端控制连接器用于作马达与远程控制接线，在外部电气接线时控制壳体不需打开，双密封结构保证在现场打开接线罩盖时仍保持内部电气组件与外界环境的完全隔离不受任何影响，因此电动装置仍然能防尘及防潮。</w:t>
      </w:r>
    </w:p>
    <w:p w14:paraId="28541C93">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4.3.2.2.6</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采用压力传感器来测量阀门运动时的力矩，力矩检测、控制精度达到1%。</w:t>
      </w:r>
    </w:p>
    <w:p w14:paraId="7DB10BA4">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4.3.2.2.7</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相位自动校正和掉相保护，执行器应具有电源相序鉴别功能，无论接入的三相交流电的相序如何，执行器都会朝着正确的方向旋转。执行器内的掉相保护电路会不断的监控三相电源，如果一相丢失，执行器可封锁控制电路对电机的控制并发出报警信号。</w:t>
      </w:r>
    </w:p>
    <w:p w14:paraId="4C77D45C">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4.3.2.2.8</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瞬时逆转保护，当执行机构正在向一个方向转动时例如正在执行开阀动作，如果接到关阀命令，执行机构内部的控制电路应先运行停止命令并延时一段时间，然后才执行关阀命令。减少电机电流的冲击，延长接触器的寿命，同时防止冲击负载对阀杆、齿轮箱等机械传动装置造成损伤，进而有效的保护阀门。</w:t>
      </w:r>
    </w:p>
    <w:p w14:paraId="08E5974F">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4.3.2.2.9</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智能卡塞保护，当执行机构向一个方向运转时，例如正在执行开阀动作，此时若该方向上的力矩大于设定的力矩，执行器将实施卡塞保护。</w:t>
      </w:r>
    </w:p>
    <w:p w14:paraId="00B8C02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4.3.2.2.10电机过热保护，执行机构的电机线圈里应预埋有热敏开关，一旦线圈温度超过预设值（135℃），热敏开关将断开相应触点，禁止执行机构运行，并发出报警信号。电机过热保护可通过设定程序屏蔽。</w:t>
      </w:r>
    </w:p>
    <w:p w14:paraId="2AA948E8">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4.3.2.2.11</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执行器的电流变送器可把执行器的当前阀位转换为4~20mA电流信号输出，并可设定最小信号对应全开或全关。在额定电压下，最大外部阻抗为500欧，全行程的线性度&lt;0.5％。</w:t>
      </w:r>
    </w:p>
    <w:p w14:paraId="16C786CF">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4.3.3</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防腐保护</w:t>
      </w:r>
    </w:p>
    <w:p w14:paraId="44EBBB5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4.3.3.1</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阀门表面防腐处理根据制造商设备防护涂层系统进行工厂准备，打光和完成涂层，符合ISO和GB标准或等同标准。要求阀门的表面处理有优良的耐腐蚀性，表面处理寿命不小于10年。</w:t>
      </w:r>
    </w:p>
    <w:p w14:paraId="2B47E48E">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4.3.3.2</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阀膛内裸露的表面应该采用适宜于饮用水要求的聚酰胺树脂加以防护。</w:t>
      </w:r>
    </w:p>
    <w:p w14:paraId="79F9A31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 材质</w:t>
      </w:r>
    </w:p>
    <w:p w14:paraId="0AB1D844">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4.4.1</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阀体：球墨铸铁QT400-18或更好</w:t>
      </w:r>
    </w:p>
    <w:p w14:paraId="0663C794">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4.4.2</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阀瓣：不锈钢或更好</w:t>
      </w:r>
    </w:p>
    <w:p w14:paraId="1110C208">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4.4.3</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阀轴：不锈钢 20Cr13或更好</w:t>
      </w:r>
    </w:p>
    <w:p w14:paraId="10AA3048">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4.4.4</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上、下轴承：铝青铜 ZCuAL10Fe3或更好</w:t>
      </w:r>
    </w:p>
    <w:p w14:paraId="721BD1D3">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4.4.5</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退拔销：不锈钢 1Cr17Ni2或更好</w:t>
      </w:r>
    </w:p>
    <w:p w14:paraId="5D67D85D">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4.4.6</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阀瓣密封圈：丁氰橡胶 NBR或更好</w:t>
      </w:r>
    </w:p>
    <w:p w14:paraId="7DBC5018">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4.4.7</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阀体密封圈：不锈钢06Cr19Ni10或更好</w:t>
      </w:r>
    </w:p>
    <w:p w14:paraId="4EAFA64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4.4.8</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阀轴密封圈：丁氰橡胶 V型NBR或更好</w:t>
      </w:r>
    </w:p>
    <w:p w14:paraId="0696E412">
      <w:pPr>
        <w:pStyle w:val="4"/>
        <w:pageBreakBefore w:val="0"/>
        <w:widowControl w:val="0"/>
        <w:kinsoku/>
        <w:wordWrap/>
        <w:overflowPunct/>
        <w:topLinePunct w:val="0"/>
        <w:autoSpaceDE/>
        <w:autoSpaceDN/>
        <w:bidi w:val="0"/>
        <w:spacing w:before="120" w:beforeLines="0" w:after="120" w:afterLines="0" w:line="400" w:lineRule="exact"/>
        <w:ind w:left="0" w:right="0" w:firstLine="0"/>
        <w:jc w:val="both"/>
        <w:rPr>
          <w:rFonts w:hint="eastAsia" w:ascii="宋体" w:hAnsi="宋体" w:eastAsia="宋体" w:cs="宋体"/>
          <w:b/>
          <w:bCs/>
          <w:color w:val="000000"/>
          <w:spacing w:val="0"/>
          <w:sz w:val="24"/>
          <w:szCs w:val="24"/>
          <w:highlight w:val="none"/>
          <w:lang w:val="en-US" w:eastAsia="zh-CN"/>
        </w:rPr>
      </w:pPr>
      <w:r>
        <w:rPr>
          <w:rFonts w:hint="eastAsia" w:ascii="宋体" w:hAnsi="宋体" w:eastAsia="宋体" w:cs="宋体"/>
          <w:b/>
          <w:bCs/>
          <w:color w:val="000000"/>
          <w:spacing w:val="0"/>
          <w:sz w:val="24"/>
          <w:szCs w:val="24"/>
          <w:highlight w:val="none"/>
          <w:lang w:val="en-US" w:eastAsia="zh-CN"/>
        </w:rPr>
        <w:t>（五） 风机</w:t>
      </w:r>
      <w:bookmarkEnd w:id="37"/>
      <w:bookmarkEnd w:id="38"/>
      <w:bookmarkEnd w:id="39"/>
      <w:bookmarkEnd w:id="40"/>
      <w:bookmarkEnd w:id="41"/>
      <w:bookmarkEnd w:id="42"/>
    </w:p>
    <w:p w14:paraId="41F71BD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bookmarkStart w:id="43" w:name="_Toc459643645"/>
      <w:bookmarkStart w:id="44" w:name="_Toc170208273"/>
      <w:bookmarkStart w:id="45" w:name="_Toc459643387"/>
      <w:bookmarkStart w:id="46" w:name="_Toc459643515"/>
      <w:bookmarkStart w:id="47" w:name="_Toc461183508"/>
      <w:bookmarkStart w:id="48" w:name="_Toc459643259"/>
      <w:bookmarkStart w:id="49" w:name="_Toc459640738"/>
      <w:bookmarkStart w:id="50" w:name="_Toc338842906"/>
      <w:r>
        <w:rPr>
          <w:rFonts w:hint="eastAsia" w:ascii="宋体" w:hAnsi="宋体" w:eastAsia="宋体" w:cs="宋体"/>
          <w:sz w:val="24"/>
          <w:szCs w:val="24"/>
          <w:lang w:val="en-US" w:eastAsia="zh-CN"/>
        </w:rPr>
        <w:t>5.1供货范围</w:t>
      </w:r>
      <w:bookmarkEnd w:id="43"/>
      <w:bookmarkEnd w:id="44"/>
      <w:bookmarkEnd w:id="45"/>
      <w:bookmarkEnd w:id="46"/>
      <w:bookmarkEnd w:id="47"/>
      <w:bookmarkEnd w:id="48"/>
      <w:bookmarkEnd w:id="49"/>
      <w:bookmarkEnd w:id="50"/>
    </w:p>
    <w:p w14:paraId="5AD0BCDE">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（1）投标人应根据标书要求的性能提供全新的、先进的、成熟的、完整的和安全可靠的，且设备的技术经济性能符合技术规范的鼓风机机组。</w:t>
      </w:r>
    </w:p>
    <w:p w14:paraId="674D9ADF">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（2）全套设备包括风机主机、电动机、隔音罩等风机符合工艺正常运转所需的一切附件及配件。投标人还应提供所有附属设备、附件、紧固件、备品备件安装附件等。</w:t>
      </w:r>
    </w:p>
    <w:p w14:paraId="1382EC8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bookmarkStart w:id="51" w:name="_Toc459643388"/>
      <w:bookmarkStart w:id="52" w:name="_Toc459643646"/>
      <w:bookmarkStart w:id="53" w:name="_Toc459643260"/>
      <w:bookmarkStart w:id="54" w:name="_Toc459643516"/>
      <w:bookmarkStart w:id="55" w:name="_Toc459640739"/>
      <w:bookmarkStart w:id="56" w:name="_Toc461183509"/>
      <w:bookmarkStart w:id="57" w:name="_Toc170208274"/>
      <w:bookmarkStart w:id="58" w:name="_Toc338842907"/>
      <w:r>
        <w:rPr>
          <w:rFonts w:hint="eastAsia" w:ascii="宋体" w:hAnsi="宋体" w:eastAsia="宋体" w:cs="宋体"/>
          <w:sz w:val="24"/>
          <w:szCs w:val="24"/>
          <w:lang w:val="en-US" w:eastAsia="zh-CN"/>
        </w:rPr>
        <w:t>5.2技术特性、工作条件</w:t>
      </w:r>
      <w:bookmarkEnd w:id="51"/>
      <w:bookmarkEnd w:id="52"/>
      <w:bookmarkEnd w:id="53"/>
      <w:bookmarkEnd w:id="54"/>
      <w:bookmarkEnd w:id="55"/>
      <w:bookmarkEnd w:id="56"/>
      <w:bookmarkEnd w:id="57"/>
      <w:bookmarkEnd w:id="58"/>
    </w:p>
    <w:p w14:paraId="429D040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（1）型式：高压鼓风机</w:t>
      </w:r>
    </w:p>
    <w:p w14:paraId="034E1858">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（2）流量：按清单所需</w:t>
      </w:r>
    </w:p>
    <w:p w14:paraId="6BE21D3E">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（3）风压： 按清单所需</w:t>
      </w:r>
    </w:p>
    <w:p w14:paraId="3B0F98B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（4）输送介质：空气</w:t>
      </w:r>
    </w:p>
    <w:p w14:paraId="72A95E2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（5）配套电机：厂家配套，380V 50HZ</w:t>
      </w:r>
    </w:p>
    <w:p w14:paraId="492A62DF">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（6）数量：2台</w:t>
      </w:r>
    </w:p>
    <w:p w14:paraId="7B00EC1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（7）鼓风机设置在室内，间歇工作。</w:t>
      </w:r>
    </w:p>
    <w:p w14:paraId="613F603A">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（8）环境温度：夏季室内最高温度42℃，相对湿度90%。</w:t>
      </w:r>
    </w:p>
    <w:p w14:paraId="5DAE6773">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（9）电源：380V+5%，50 ±1 Hz。</w:t>
      </w:r>
    </w:p>
    <w:p w14:paraId="2AD48DA4">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bookmarkStart w:id="59" w:name="_Toc459643261"/>
      <w:bookmarkStart w:id="60" w:name="_Toc461183510"/>
      <w:bookmarkStart w:id="61" w:name="_Toc338842908"/>
      <w:bookmarkStart w:id="62" w:name="_Toc459643647"/>
      <w:bookmarkStart w:id="63" w:name="_Toc459643517"/>
      <w:bookmarkStart w:id="64" w:name="_Toc170208275"/>
      <w:bookmarkStart w:id="65" w:name="_Toc459640740"/>
      <w:bookmarkStart w:id="66" w:name="_Toc459643389"/>
      <w:r>
        <w:rPr>
          <w:rFonts w:hint="eastAsia" w:ascii="宋体" w:hAnsi="宋体" w:eastAsia="宋体" w:cs="宋体"/>
          <w:sz w:val="24"/>
          <w:szCs w:val="24"/>
          <w:lang w:val="en-US" w:eastAsia="zh-CN"/>
        </w:rPr>
        <w:t>5.3性能要求</w:t>
      </w:r>
      <w:bookmarkEnd w:id="59"/>
      <w:bookmarkEnd w:id="60"/>
      <w:bookmarkEnd w:id="61"/>
      <w:bookmarkEnd w:id="62"/>
      <w:bookmarkEnd w:id="63"/>
      <w:bookmarkEnd w:id="64"/>
      <w:bookmarkEnd w:id="65"/>
      <w:bookmarkEnd w:id="66"/>
    </w:p>
    <w:p w14:paraId="3492079D">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风机应能在规定的环境条件下长期安全、可靠、平稳运行，并满足各种性能和工况要求。风机应有良好的可控性能，合理的运行操作方式及就地启停、调试和正常及事故情况下必需的检测、控制调节及保护等措施，以确保设备的安全经济运行。</w:t>
      </w:r>
    </w:p>
    <w:p w14:paraId="722C1D5F">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（2）鼓风机主机及电机由国内外先进水平制造厂生产，其余部件可国内配套。风机和电机由投标方成套供货，设备的制造加工须符合国家相关标准及行业标准、企业标准。</w:t>
      </w:r>
    </w:p>
    <w:p w14:paraId="29510A07">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（3）风机和辅助设备的本体及支座设计应能满足当地地震烈度所必须的强度要求，并保证结构上的完整性。 设备零部件应采用先进、可靠的加工制造技术，有良好的表面几何形状及合适的公差配合。外露的转动部件均应设置防护罩，且便于拆卸。各转运部件转动灵活，无卡阻现象。润滑部分密封良好，无油脂渗漏现象。</w:t>
      </w:r>
    </w:p>
    <w:p w14:paraId="1CC2478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（4）风机应选用结构合理、效果好的抗式消音器，使风机噪音符合本规范书规定标准；不适用海绵或玻璃棉为消音材料，以免老化或泄漏。</w:t>
      </w:r>
    </w:p>
    <w:p w14:paraId="1E233FFE">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（5）设备噪音应控制在离设备外壳和地面1米处的噪音不得大于80dB(A)级。</w:t>
      </w:r>
    </w:p>
    <w:p w14:paraId="02A9DC2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（6）风机配电动机的防护等级为IP54、绝缘等级为F。</w:t>
      </w:r>
    </w:p>
    <w:p w14:paraId="55149E04">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（7）仪表和控制要求</w:t>
      </w:r>
    </w:p>
    <w:p w14:paraId="6B78517F">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①仪控系统应采用标准化的元件和标准化的设备组件，以适应设备使用时更换的需要。</w:t>
      </w:r>
    </w:p>
    <w:p w14:paraId="24D807E3">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②应设置就地仪表、控制和远传接口。并设置手动操作与自动操作两种方式，在自动控制状态下，当气化风机发生事故时能自动停机，并报警。</w:t>
      </w:r>
    </w:p>
    <w:p w14:paraId="7E0ACADC">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（8）性能应符合招标设备清单中要求。要求在运行条件范围内，鼓风机机组应运行平稳，无异常噪音，无振动、无过热现象，应保证在距风机机组隔音罩外侧1m处噪音不大于80dB。</w:t>
      </w:r>
    </w:p>
    <w:p w14:paraId="59140FD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（9）要求在额定工况流量点下，压力差允许误差±3%。</w:t>
      </w:r>
    </w:p>
    <w:p w14:paraId="1FEE8E5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bookmarkStart w:id="67" w:name="_Toc461183511"/>
      <w:bookmarkStart w:id="68" w:name="_Toc459643648"/>
      <w:bookmarkStart w:id="69" w:name="_Toc170208276"/>
      <w:bookmarkStart w:id="70" w:name="_Toc459643518"/>
      <w:bookmarkStart w:id="71" w:name="_Toc459643262"/>
      <w:bookmarkStart w:id="72" w:name="_Toc338842909"/>
      <w:bookmarkStart w:id="73" w:name="_Toc459640741"/>
      <w:bookmarkStart w:id="74" w:name="_Toc459643390"/>
      <w:r>
        <w:rPr>
          <w:rFonts w:hint="eastAsia" w:ascii="宋体" w:hAnsi="宋体" w:eastAsia="宋体" w:cs="宋体"/>
          <w:sz w:val="24"/>
          <w:szCs w:val="24"/>
          <w:lang w:val="en-US" w:eastAsia="zh-CN"/>
        </w:rPr>
        <w:t>5.4鼓风机主机结构及材质</w:t>
      </w:r>
      <w:bookmarkEnd w:id="67"/>
      <w:bookmarkEnd w:id="68"/>
      <w:bookmarkEnd w:id="69"/>
      <w:bookmarkEnd w:id="70"/>
      <w:bookmarkEnd w:id="71"/>
      <w:bookmarkEnd w:id="72"/>
      <w:bookmarkEnd w:id="73"/>
      <w:bookmarkEnd w:id="74"/>
    </w:p>
    <w:p w14:paraId="69FDDFB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（1）鼓风机机壳、基座、墙板、油箱由灰铸铁HT200或更好制造，采用树脂砂铸造，时效处理。鼓风机壳应具有160℃的设计温度，和表压为110KPa的设计压力。接口应进行机加工，使其光滑平整，以保证装配气密封。</w:t>
      </w:r>
    </w:p>
    <w:p w14:paraId="45D9F16E">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（2）鼓风机转子由球墨铸铁QT500或更好制造，转子采用3叶形式，加工采用柔性加工及系统加工。使用寿命能达到50000小时。</w:t>
      </w:r>
    </w:p>
    <w:p w14:paraId="305E018C">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（3）每台鼓风机上都有吊耳，可独自承受鼓风机的重量。</w:t>
      </w:r>
    </w:p>
    <w:p w14:paraId="5103FD09">
      <w:pPr>
        <w:pStyle w:val="4"/>
        <w:pageBreakBefore w:val="0"/>
        <w:widowControl w:val="0"/>
        <w:kinsoku/>
        <w:wordWrap/>
        <w:overflowPunct/>
        <w:topLinePunct w:val="0"/>
        <w:autoSpaceDE/>
        <w:autoSpaceDN/>
        <w:bidi w:val="0"/>
        <w:spacing w:before="120" w:beforeLines="0" w:after="120" w:afterLines="0" w:line="400" w:lineRule="exact"/>
        <w:ind w:left="0" w:right="0" w:firstLine="0"/>
        <w:jc w:val="both"/>
        <w:rPr>
          <w:rFonts w:hint="eastAsia" w:ascii="宋体" w:hAnsi="宋体" w:eastAsia="宋体" w:cs="宋体"/>
          <w:b/>
          <w:bCs/>
          <w:color w:val="000000"/>
          <w:spacing w:val="0"/>
          <w:sz w:val="24"/>
          <w:szCs w:val="24"/>
          <w:highlight w:val="none"/>
          <w:lang w:val="en-US" w:eastAsia="zh-CN"/>
        </w:rPr>
      </w:pPr>
      <w:r>
        <w:rPr>
          <w:rFonts w:hint="eastAsia" w:ascii="宋体" w:hAnsi="宋体" w:eastAsia="宋体" w:cs="宋体"/>
          <w:b/>
          <w:bCs/>
          <w:color w:val="000000"/>
          <w:spacing w:val="0"/>
          <w:sz w:val="24"/>
          <w:szCs w:val="24"/>
          <w:highlight w:val="none"/>
          <w:lang w:val="en-US" w:eastAsia="zh-CN"/>
        </w:rPr>
        <w:t>（六）加药系统</w:t>
      </w:r>
    </w:p>
    <w:p w14:paraId="69BEA457">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系统包含次氯酸钠投加装置等。</w:t>
      </w:r>
    </w:p>
    <w:p w14:paraId="6A4C5D9E">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★所投加药系统产品需具有水处理智能化加药控制系统</w:t>
      </w:r>
      <w:r>
        <w:rPr>
          <w:rFonts w:ascii="宋体" w:hAnsi="宋体" w:eastAsia="宋体" w:cs="宋体"/>
          <w:sz w:val="24"/>
          <w:szCs w:val="24"/>
          <w:u w:val="none"/>
        </w:rPr>
        <w:t>，</w:t>
      </w:r>
      <w:r>
        <w:rPr>
          <w:rFonts w:ascii="宋体" w:hAnsi="宋体" w:eastAsia="宋体" w:cs="宋体"/>
          <w:sz w:val="24"/>
          <w:szCs w:val="24"/>
        </w:rPr>
        <w:t>支持依据净水工艺要求实现加药流程的智能化调控、剂量初算与过程状态反馈，适配供水站水处理加药环节的自动化需求</w:t>
      </w:r>
      <w:r>
        <w:rPr>
          <w:rFonts w:hint="eastAsia" w:ascii="宋体" w:hAnsi="宋体" w:cs="宋体"/>
          <w:sz w:val="24"/>
          <w:szCs w:val="24"/>
          <w:lang w:eastAsia="zh-CN"/>
        </w:rPr>
        <w:t>，</w:t>
      </w:r>
      <w:r>
        <w:rPr>
          <w:rFonts w:hint="eastAsia" w:ascii="宋体" w:hAnsi="宋体" w:cs="宋体"/>
          <w:sz w:val="24"/>
          <w:szCs w:val="24"/>
          <w:lang w:val="en-US" w:eastAsia="zh-CN"/>
        </w:rPr>
        <w:t>需提供承诺函</w:t>
      </w:r>
      <w:r>
        <w:rPr>
          <w:rFonts w:ascii="宋体" w:hAnsi="宋体" w:eastAsia="宋体" w:cs="宋体"/>
          <w:sz w:val="24"/>
          <w:szCs w:val="24"/>
        </w:rPr>
        <w:t>。</w:t>
      </w:r>
    </w:p>
    <w:p w14:paraId="20501AAC">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★所投加药系统产品需具有智能化精准加药系统，</w:t>
      </w:r>
      <w:r>
        <w:rPr>
          <w:rFonts w:ascii="宋体" w:hAnsi="宋体" w:eastAsia="宋体" w:cs="宋体"/>
          <w:sz w:val="24"/>
          <w:szCs w:val="24"/>
        </w:rPr>
        <w:t>支持根据超滤净水过程中实时水质数据，实现加药剂量的精准动态调节，匹配供水站净水工艺的精细化处理需求</w:t>
      </w:r>
      <w:r>
        <w:rPr>
          <w:rFonts w:hint="eastAsia" w:ascii="宋体" w:hAnsi="宋体" w:cs="宋体"/>
          <w:sz w:val="24"/>
          <w:szCs w:val="24"/>
          <w:lang w:eastAsia="zh-CN"/>
        </w:rPr>
        <w:t>，</w:t>
      </w:r>
      <w:r>
        <w:rPr>
          <w:rFonts w:hint="eastAsia" w:ascii="宋体" w:hAnsi="宋体" w:cs="宋体"/>
          <w:sz w:val="24"/>
          <w:szCs w:val="24"/>
          <w:lang w:val="en-US" w:eastAsia="zh-CN"/>
        </w:rPr>
        <w:t>需提供承诺函</w:t>
      </w:r>
      <w:r>
        <w:rPr>
          <w:rFonts w:ascii="宋体" w:hAnsi="宋体" w:eastAsia="宋体" w:cs="宋体"/>
          <w:sz w:val="24"/>
          <w:szCs w:val="24"/>
        </w:rPr>
        <w:t>。</w:t>
      </w:r>
    </w:p>
    <w:p w14:paraId="622E1A1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6.1计量泵</w:t>
      </w:r>
    </w:p>
    <w:p w14:paraId="1CBE9243">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量泵泵体采用步进电机驱动，电机内置在计量泵泵体内。计量泵自带液晶面板及操作按钮，液晶面板镶嵌在计量泵本体上，并至少有三个安装位置可供选择，计量泵控制面板带有透明防护罩，满足计量泵控制面板的电气防护要求。</w:t>
      </w:r>
    </w:p>
    <w:p w14:paraId="284633E8">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计量泵调节比为1：800，吸程不小于3米，可手动输入设定流量，也可以输入0/4-20mA信号及输出报警信号。</w:t>
      </w:r>
    </w:p>
    <w:p w14:paraId="5BB6BE2A">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计量泵设置在加药间内，计量泵通过流量信号自动调节药剂的投加量，也可手动输入投加量。在整个投加过程中，加注泵能安全、适度地通过最佳的药剂量。加注泵的材质应能抵抗介质的腐蚀。</w:t>
      </w:r>
    </w:p>
    <w:p w14:paraId="4E8117BC">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流量：根据设计图纸</w:t>
      </w:r>
    </w:p>
    <w:p w14:paraId="29F9B57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压力：根据设备清单</w:t>
      </w:r>
    </w:p>
    <w:p w14:paraId="26E357EC">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泵头材质：PVC</w:t>
      </w:r>
    </w:p>
    <w:p w14:paraId="23FFE62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精度:±1.5%</w:t>
      </w:r>
    </w:p>
    <w:p w14:paraId="541D207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吸程高度:4米</w:t>
      </w:r>
    </w:p>
    <w:p w14:paraId="71B76197">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驱动装置:240V,50Hz, IP65,60W</w:t>
      </w:r>
    </w:p>
    <w:p w14:paraId="4179B8C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连接件口径：DN20</w:t>
      </w:r>
    </w:p>
    <w:p w14:paraId="797560A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计量泵加药系统应该包含计量泵组（铝合金型材），自动运行电气控制柜或接线盒，安装管路附件（背压阀、脉冲阻尼器、安全阀、Y型过滤器）等，形成一个完整 的系统。为避免堵塞，计量泵加药系统应配合理的管路冲洗设计。</w:t>
      </w:r>
    </w:p>
    <w:p w14:paraId="7F56D9F3">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计量泵通过一体化撬装支架进行撬装，安全阀、背压阀、阻尼器集成于支架，撬装支架采用铝合金型材尺寸依据设备清单。</w:t>
      </w:r>
    </w:p>
    <w:p w14:paraId="6317555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 安全阀（内密封圈、接口O型圈必须耐腐蚀）</w:t>
      </w:r>
    </w:p>
    <w:p w14:paraId="4A3E4F57">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安装在计量泵的压力端，可以防止管路出现过高的压力。</w:t>
      </w:r>
    </w:p>
    <w:p w14:paraId="0B67DCCA">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连接口径：根据设计图纸</w:t>
      </w:r>
    </w:p>
    <w:p w14:paraId="2D05D8C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阀体材质：UPVC</w:t>
      </w:r>
    </w:p>
    <w:p w14:paraId="4AD757D7">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O型圈：Viton</w:t>
      </w:r>
    </w:p>
    <w:p w14:paraId="68CD4371">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隔膜：PTFE</w:t>
      </w:r>
    </w:p>
    <w:p w14:paraId="7E5B207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出厂调节至3bar</w:t>
      </w:r>
    </w:p>
    <w:p w14:paraId="27FCC584">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 背压阀（压力保持阀）</w:t>
      </w:r>
    </w:p>
    <w:p w14:paraId="1D126E0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在投加系统没有背压、背压不稳定或者投加点位置比泵低时，用于维持计量泵投加流量的稳定。通过一个带弹簧的调节螺冒可以调节背压阀的压力。PVC材质，PTFE隔膜，出厂调节至2bar。</w:t>
      </w:r>
    </w:p>
    <w:p w14:paraId="693ABD0E">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连接口径：根据设计图纸</w:t>
      </w:r>
    </w:p>
    <w:p w14:paraId="3964632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阀体材质：UPVC</w:t>
      </w:r>
    </w:p>
    <w:p w14:paraId="19FBC604">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O型圈：Viton</w:t>
      </w:r>
    </w:p>
    <w:p w14:paraId="2DBEDC8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隔膜：PTFE</w:t>
      </w:r>
    </w:p>
    <w:p w14:paraId="7C26ED53">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出厂调节至2bar</w:t>
      </w:r>
    </w:p>
    <w:p w14:paraId="1B6820D8">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6.4 脉动阻尼器</w:t>
      </w:r>
    </w:p>
    <w:p w14:paraId="7D064DD3">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能量平衡的方式减少精密计量泵药液输出的脉冲，使精密计量泵药液输出均匀，形成近似线性的流体特性，增加进料的平稳性，并消除因脉冲可能引起的振动对计量泵和系统造成的伤害。脉冲阻尼器隔膜材质为PTFE。</w:t>
      </w:r>
    </w:p>
    <w:p w14:paraId="211A38CE">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连接口径：根据设备清单</w:t>
      </w:r>
    </w:p>
    <w:tbl>
      <w:tblPr>
        <w:tblStyle w:val="38"/>
        <w:tblW w:w="5637" w:type="dxa"/>
        <w:tblInd w:w="5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686"/>
      </w:tblGrid>
      <w:tr w14:paraId="1BB3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14:paraId="4FFEEFD4">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w:t>
            </w:r>
          </w:p>
        </w:tc>
        <w:tc>
          <w:tcPr>
            <w:tcW w:w="3686" w:type="dxa"/>
            <w:tcBorders>
              <w:top w:val="single" w:color="auto" w:sz="4" w:space="0"/>
              <w:left w:val="single" w:color="auto" w:sz="4" w:space="0"/>
              <w:bottom w:val="single" w:color="auto" w:sz="4" w:space="0"/>
              <w:right w:val="single" w:color="auto" w:sz="4" w:space="0"/>
            </w:tcBorders>
            <w:vAlign w:val="center"/>
          </w:tcPr>
          <w:p w14:paraId="54356407">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壳体：UPVC，密封垫：Viton</w:t>
            </w:r>
          </w:p>
        </w:tc>
      </w:tr>
      <w:tr w14:paraId="5B0E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14:paraId="6E16969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连接：</w:t>
            </w:r>
          </w:p>
        </w:tc>
        <w:tc>
          <w:tcPr>
            <w:tcW w:w="3686" w:type="dxa"/>
            <w:tcBorders>
              <w:top w:val="single" w:color="auto" w:sz="4" w:space="0"/>
              <w:left w:val="single" w:color="auto" w:sz="4" w:space="0"/>
              <w:bottom w:val="single" w:color="auto" w:sz="4" w:space="0"/>
              <w:right w:val="single" w:color="auto" w:sz="4" w:space="0"/>
            </w:tcBorders>
            <w:vAlign w:val="center"/>
          </w:tcPr>
          <w:p w14:paraId="77EF95F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准备UPVC承插连接</w:t>
            </w:r>
          </w:p>
        </w:tc>
      </w:tr>
      <w:tr w14:paraId="4AF84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14:paraId="17DC0B5D">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容积：</w:t>
            </w:r>
          </w:p>
        </w:tc>
        <w:tc>
          <w:tcPr>
            <w:tcW w:w="3686" w:type="dxa"/>
            <w:tcBorders>
              <w:top w:val="single" w:color="auto" w:sz="4" w:space="0"/>
              <w:left w:val="single" w:color="auto" w:sz="4" w:space="0"/>
              <w:bottom w:val="single" w:color="auto" w:sz="4" w:space="0"/>
              <w:right w:val="single" w:color="auto" w:sz="4" w:space="0"/>
            </w:tcBorders>
            <w:vAlign w:val="center"/>
          </w:tcPr>
          <w:p w14:paraId="30EFF9BC">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根据设备清单</w:t>
            </w:r>
          </w:p>
        </w:tc>
      </w:tr>
      <w:tr w14:paraId="626EB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14:paraId="70125F4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最大压力：</w:t>
            </w:r>
          </w:p>
        </w:tc>
        <w:tc>
          <w:tcPr>
            <w:tcW w:w="3686" w:type="dxa"/>
            <w:tcBorders>
              <w:top w:val="single" w:color="auto" w:sz="4" w:space="0"/>
              <w:left w:val="single" w:color="auto" w:sz="4" w:space="0"/>
              <w:bottom w:val="single" w:color="auto" w:sz="4" w:space="0"/>
              <w:right w:val="single" w:color="auto" w:sz="4" w:space="0"/>
            </w:tcBorders>
            <w:vAlign w:val="center"/>
          </w:tcPr>
          <w:p w14:paraId="08803DC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5bar</w:t>
            </w:r>
          </w:p>
        </w:tc>
      </w:tr>
    </w:tbl>
    <w:p w14:paraId="60A9B0F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6.5  Y型过滤器</w:t>
      </w:r>
    </w:p>
    <w:p w14:paraId="7EF6B5FE">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输送介质的管道系统不可缺少的一种过滤装置，Y型过滤器通常安装在减压阀、泄压阀、定水位阀或其它设备的进口端，用来清除介质中的杂质，以保护阀门及设备的正常使用。Y型过滤器应具有结构先进，阻力小，排污方便等特点。</w:t>
      </w:r>
    </w:p>
    <w:p w14:paraId="3A759D1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材质：UPVC，滤芯应易于检查和拆卸清除杂质。</w:t>
      </w:r>
    </w:p>
    <w:p w14:paraId="17B95F9C">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公称压力：1.6MPa</w:t>
      </w:r>
    </w:p>
    <w:p w14:paraId="2830BCE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连接口径：根据设备清单</w:t>
      </w:r>
    </w:p>
    <w:p w14:paraId="4C61BE28">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6.6  必要的连接管道</w:t>
      </w:r>
    </w:p>
    <w:p w14:paraId="4B64A75D">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（管道要做好标签，线缆要套PVC管并注明标签）</w:t>
      </w:r>
    </w:p>
    <w:p w14:paraId="3A18F664">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必要的连接管道包括系统总管和输出管。所有的管路应采用UPVC管。连接管道应附有阀门、弯头、法兰等。</w:t>
      </w:r>
    </w:p>
    <w:p w14:paraId="55E4411F">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到加注点必要的连接管道、阀门和压力表按需配置并与泵的特性配套。</w:t>
      </w:r>
    </w:p>
    <w:p w14:paraId="25162E77">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材料：UPVC</w:t>
      </w:r>
    </w:p>
    <w:p w14:paraId="0E7975A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产品标准：DIN</w:t>
      </w:r>
    </w:p>
    <w:p w14:paraId="7B0F7AED">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接口：承插接口</w:t>
      </w:r>
    </w:p>
    <w:p w14:paraId="6AEE54D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耐压等级：PN16</w:t>
      </w:r>
    </w:p>
    <w:p w14:paraId="74BF82EF">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输送介质：一般浓度无机酸、碱、盐</w:t>
      </w:r>
    </w:p>
    <w:p w14:paraId="4D28B4B1">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标准：ANSI，JIS，DIN</w:t>
      </w:r>
    </w:p>
    <w:p w14:paraId="0C6F54AE">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密封圈材质：EPDM</w:t>
      </w:r>
    </w:p>
    <w:p w14:paraId="37A41B5E">
      <w:pPr>
        <w:pStyle w:val="4"/>
        <w:pageBreakBefore w:val="0"/>
        <w:widowControl w:val="0"/>
        <w:kinsoku/>
        <w:wordWrap/>
        <w:overflowPunct/>
        <w:topLinePunct w:val="0"/>
        <w:autoSpaceDE/>
        <w:autoSpaceDN/>
        <w:bidi w:val="0"/>
        <w:spacing w:before="120" w:beforeLines="0" w:after="120" w:afterLines="0" w:line="400" w:lineRule="exact"/>
        <w:ind w:left="0" w:right="0" w:firstLine="0"/>
        <w:jc w:val="both"/>
        <w:rPr>
          <w:rFonts w:hint="eastAsia" w:ascii="宋体" w:hAnsi="宋体" w:eastAsia="宋体" w:cs="宋体"/>
          <w:b/>
          <w:bCs/>
          <w:color w:val="000000"/>
          <w:spacing w:val="0"/>
          <w:sz w:val="24"/>
          <w:szCs w:val="24"/>
          <w:highlight w:val="none"/>
          <w:lang w:val="en-US" w:eastAsia="zh-CN"/>
        </w:rPr>
      </w:pPr>
      <w:r>
        <w:rPr>
          <w:rFonts w:hint="eastAsia" w:ascii="宋体" w:hAnsi="宋体" w:eastAsia="宋体" w:cs="宋体"/>
          <w:b/>
          <w:bCs/>
          <w:color w:val="000000"/>
          <w:spacing w:val="0"/>
          <w:sz w:val="24"/>
          <w:szCs w:val="24"/>
          <w:highlight w:val="none"/>
          <w:lang w:val="en-US" w:eastAsia="zh-CN"/>
        </w:rPr>
        <w:t>（七）自控系统总体要求和技术规范</w:t>
      </w:r>
    </w:p>
    <w:p w14:paraId="7301F931">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 自控系统</w:t>
      </w:r>
    </w:p>
    <w:p w14:paraId="3B0C84A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本工程自控系统包括供水站的PLC控制系统、仪表监测系统、安防监控系统、自控系统的软件配置以及防雷接地系统等。</w:t>
      </w:r>
    </w:p>
    <w:p w14:paraId="372FDD83">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★投标人需具备超滤净水装置控制系统</w:t>
      </w:r>
      <w:r>
        <w:rPr>
          <w:rFonts w:hint="eastAsia" w:ascii="宋体" w:hAnsi="宋体" w:cs="宋体"/>
          <w:sz w:val="24"/>
          <w:szCs w:val="24"/>
          <w:u w:val="none"/>
          <w:lang w:val="en-US" w:eastAsia="zh-CN"/>
        </w:rPr>
        <w:t>，需提供承诺函</w:t>
      </w:r>
      <w:r>
        <w:rPr>
          <w:rFonts w:hint="eastAsia" w:ascii="宋体" w:hAnsi="宋体" w:eastAsia="宋体" w:cs="宋体"/>
          <w:sz w:val="24"/>
          <w:szCs w:val="24"/>
          <w:u w:val="none"/>
          <w:lang w:val="en-US" w:eastAsia="zh-CN"/>
        </w:rPr>
        <w:t>。</w:t>
      </w:r>
    </w:p>
    <w:p w14:paraId="5DDC9298">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★投标人需具备电子智能化工程管理系统，支持设备工程全流程的智能化调度、作业进度跟踪与多模块协同管理，适配供水站项目的工程运维与管理需求</w:t>
      </w:r>
      <w:r>
        <w:rPr>
          <w:rFonts w:hint="eastAsia" w:ascii="宋体" w:hAnsi="宋体" w:cs="宋体"/>
          <w:sz w:val="24"/>
          <w:szCs w:val="24"/>
          <w:u w:val="none"/>
          <w:lang w:val="en-US" w:eastAsia="zh-CN"/>
        </w:rPr>
        <w:t>，需提供承诺函。</w:t>
      </w:r>
    </w:p>
    <w:p w14:paraId="6462C3B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★投标人需具备电子智能化物联网控制</w:t>
      </w:r>
      <w:r>
        <w:rPr>
          <w:rFonts w:ascii="宋体" w:hAnsi="宋体" w:eastAsia="宋体" w:cs="宋体"/>
          <w:sz w:val="24"/>
          <w:szCs w:val="24"/>
          <w:u w:val="none"/>
        </w:rPr>
        <w:t>，支持设备运行状态的远程实时采集、工艺参数监测与智能化远程控制，保障供水站设备的远程运维与动态管控能力</w:t>
      </w:r>
      <w:r>
        <w:rPr>
          <w:rFonts w:hint="eastAsia" w:ascii="宋体" w:hAnsi="宋体" w:cs="宋体"/>
          <w:sz w:val="24"/>
          <w:szCs w:val="24"/>
          <w:u w:val="none"/>
          <w:lang w:eastAsia="zh-CN"/>
        </w:rPr>
        <w:t>，</w:t>
      </w:r>
      <w:r>
        <w:rPr>
          <w:rFonts w:hint="eastAsia" w:ascii="宋体" w:hAnsi="宋体" w:cs="宋体"/>
          <w:sz w:val="24"/>
          <w:szCs w:val="24"/>
          <w:u w:val="none"/>
          <w:lang w:val="en-US" w:eastAsia="zh-CN"/>
        </w:rPr>
        <w:t>需提供承诺函</w:t>
      </w:r>
      <w:r>
        <w:rPr>
          <w:rFonts w:ascii="宋体" w:hAnsi="宋体" w:eastAsia="宋体" w:cs="宋体"/>
          <w:sz w:val="24"/>
          <w:szCs w:val="24"/>
          <w:u w:val="none"/>
        </w:rPr>
        <w:t>。</w:t>
      </w:r>
    </w:p>
    <w:p w14:paraId="15A2E3B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★投标人需具备环保检测分析管理系统</w:t>
      </w:r>
      <w:r>
        <w:rPr>
          <w:rFonts w:ascii="宋体" w:hAnsi="宋体" w:eastAsia="宋体" w:cs="宋体"/>
          <w:sz w:val="24"/>
          <w:szCs w:val="24"/>
          <w:u w:val="none"/>
        </w:rPr>
        <w:t>，支持超滤净水过程中水质及工艺相关环保指标的实时检测、数据自动采集与多维度分析管理，满足供水站环保合规性与水质管控要求</w:t>
      </w:r>
      <w:r>
        <w:rPr>
          <w:rFonts w:hint="eastAsia" w:ascii="宋体" w:hAnsi="宋体" w:cs="宋体"/>
          <w:sz w:val="24"/>
          <w:szCs w:val="24"/>
          <w:u w:val="none"/>
          <w:lang w:eastAsia="zh-CN"/>
        </w:rPr>
        <w:t>，</w:t>
      </w:r>
      <w:r>
        <w:rPr>
          <w:rFonts w:hint="eastAsia" w:ascii="宋体" w:hAnsi="宋体" w:cs="宋体"/>
          <w:sz w:val="24"/>
          <w:szCs w:val="24"/>
          <w:u w:val="none"/>
          <w:lang w:val="en-US" w:eastAsia="zh-CN"/>
        </w:rPr>
        <w:t>需提供承诺函</w:t>
      </w:r>
      <w:r>
        <w:rPr>
          <w:rFonts w:ascii="宋体" w:hAnsi="宋体" w:eastAsia="宋体" w:cs="宋体"/>
          <w:sz w:val="24"/>
          <w:szCs w:val="24"/>
          <w:u w:val="none"/>
        </w:rPr>
        <w:t>。</w:t>
      </w:r>
    </w:p>
    <w:p w14:paraId="53779953">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7.1.1  PLC控制系统</w:t>
      </w:r>
    </w:p>
    <w:p w14:paraId="18843DE3">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7.1.1.1PLC系统的总体要求：</w:t>
      </w:r>
    </w:p>
    <w:p w14:paraId="4F3785C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7.1.1.1.1管理控制一体化：以计算机、网络系统为先进手段，实现系统的运行管理控制一体化，形成调度、生产、生产信息管理、生产监督控制在内的综合信息管理系统。同时须具备远程传输数据和控制的能力，设备的运行状态均上传到中控室、运维公司机房，管理人员只需要电脑或者手机即可了解系统的运行状态，同时可以在水厂中控室和运维公司中心机房远程控制管理各点的设备运行，巡检人员只需要根据平台的报警，给药桶加药即可，真正实现无人值守。</w:t>
      </w:r>
    </w:p>
    <w:p w14:paraId="4B61483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7.1.1.1.2实现动态的生产调度：利用自动采集到的数据与生产调度的实时数据通过网络系统反映上来，经过对数据的分析，加工处理形成的进出水量、质量、能耗等数据以图表或图形方式表示出来，供领导及管理人员可及时按经验和知识做出符合实际的判断，下达指令去指挥生产。</w:t>
      </w:r>
    </w:p>
    <w:p w14:paraId="1A4354A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7.1.1.1.3可实现生产过程的先进过程控制及优化：在完整的数据源的基础上，利用电脑，开发出先进控制的数学模型使与经济效益直接相关的产量、质量提高和原料、能耗降低，从而获得可观的经济和社会效益，使水厂的运作向系统化、信息化、科学化的生产模式发展。</w:t>
      </w:r>
    </w:p>
    <w:p w14:paraId="19F1398E">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7.1.1.1.4PLC控制网络采用工业以太网技术，配合工业级交换机形成100Mbps光纤以太环网，既有技术先进性、良好的开发性和可扩展性，又有设备硬件上冗余和通讯的高可靠性。</w:t>
      </w:r>
    </w:p>
    <w:p w14:paraId="3F14C994">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7.1.1.1.5自动控制系统重要设备及网络考虑冗余结构，确保系统的可靠性，以及流程的正常运作。</w:t>
      </w:r>
    </w:p>
    <w:p w14:paraId="02E06C6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7.1.1.1.6 控制系统应具有不少于20%的备用输入、输出端口及完整的配线和连线端子。</w:t>
      </w:r>
    </w:p>
    <w:p w14:paraId="304C73E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7.1.1.2 PLC控制系统组成</w:t>
      </w:r>
    </w:p>
    <w:p w14:paraId="45CD8C04">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7.1.1.2.1本工程自控系统设计采用以监控计算机、可编程控制器PLC和工业以太网构成的计算机监控系统，采用集中管理，分散控制的模式。</w:t>
      </w:r>
    </w:p>
    <w:p w14:paraId="7E11496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7.1.1.2.2 UPS应提供监控信号接口，接口形式采用网络接口，接入相应光交换机。</w:t>
      </w:r>
    </w:p>
    <w:p w14:paraId="70693A9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7.1.1.3 本次工程主要工艺流程环节控制要求</w:t>
      </w:r>
    </w:p>
    <w:p w14:paraId="41EEA3C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超滤净水系统：采用膜处理工艺，自动反冲洗时间可通过设置过滤周期和膜压差两个参数进行控制。膜的正常过滤控制为恒水位（可调）等速过滤，反冲洗为气、水、药洗，冲洗时间长短均可根据时间需要进行设置调节。三个滤池反冲洗时间同时达到，需进行依次等待冲洗，防止两个滤池同时进入反冲洗，同时监测综合水池的液位来确定冲洗开始时间，各组膜池都能独立运行、冲洗。根据冲洗效果设置排放水时间进行自动排放，提高产水利用率。</w:t>
      </w:r>
    </w:p>
    <w:p w14:paraId="5BC774A3">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bookmarkStart w:id="75" w:name="_Toc161196404"/>
      <w:bookmarkStart w:id="76" w:name="_Toc161557415"/>
      <w:bookmarkStart w:id="77" w:name="_Toc161196682"/>
      <w:bookmarkStart w:id="78" w:name="_Toc161123825"/>
      <w:bookmarkStart w:id="79" w:name="_Toc161636888"/>
      <w:bookmarkStart w:id="80" w:name="_Toc161451716"/>
      <w:bookmarkStart w:id="81" w:name="_Toc161195849"/>
      <w:bookmarkStart w:id="82" w:name="_Toc161197038"/>
      <w:bookmarkStart w:id="83" w:name="_Toc161196875"/>
      <w:bookmarkStart w:id="84" w:name="_Toc161579582"/>
      <w:r>
        <w:rPr>
          <w:rFonts w:hint="eastAsia" w:ascii="宋体" w:hAnsi="宋体" w:eastAsia="宋体" w:cs="宋体"/>
          <w:sz w:val="24"/>
          <w:szCs w:val="24"/>
          <w:lang w:val="en-US" w:eastAsia="zh-CN"/>
        </w:rPr>
        <w:t>7.1.1.4主要硬件功能描述</w:t>
      </w:r>
    </w:p>
    <w:p w14:paraId="258F4F73">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7.1.1.4.1 PLC站由PLC设备，控制柜，人机界面，控制附件（包括端子，中间继电器，电源等），不间断电源等组成。</w:t>
      </w:r>
    </w:p>
    <w:p w14:paraId="013BD58D">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7.1.1.4.2PLC远程站由PLC设备，控制箱（小型机柜），控制附件（包括端子，中间继电器，电源等）, 触摸屏人机界面（户内PLC子站）等组成。</w:t>
      </w:r>
    </w:p>
    <w:p w14:paraId="681B650D">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7.1.1.4.3各PLC现场站，子站、远程站应具有下列功能：</w:t>
      </w:r>
    </w:p>
    <w:p w14:paraId="3984685E">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具有实时监测所属监控工艺流程范围内的生产过程参数(压力、流量、液位)、水质参数(温度、浊度、PH 值、余氯等)，并对采集的上述参数进行处理同时供上位机储存、显示。</w:t>
      </w:r>
    </w:p>
    <w:p w14:paraId="15B5269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具有实时监测所属监控工艺流程范围内主要设备的运行状态，并对其进行采集、处理同时供上位机储存、显示。</w:t>
      </w:r>
    </w:p>
    <w:p w14:paraId="6883D2D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具有全自动控制或调节计量泵、水泵、风机、阀门等设备的功能。</w:t>
      </w:r>
    </w:p>
    <w:p w14:paraId="4E51B39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具有自动进行越限保护处理，和设备故障自动进行保护。</w:t>
      </w:r>
    </w:p>
    <w:p w14:paraId="04594D4A">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对于自带PLC的设备，需具有过电流预警功能，和设备故障自动进行保护。</w:t>
      </w:r>
    </w:p>
    <w:p w14:paraId="100F7793">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对上位机的错误指令进行屏蔽处理。</w:t>
      </w:r>
    </w:p>
    <w:p w14:paraId="37CC5231">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用户能自行根据工艺或其它因素的变化进行系统组态。</w:t>
      </w:r>
    </w:p>
    <w:p w14:paraId="304FD7BE">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具有可靠的安全措施，具有保护口令，防止越权修改程序。</w:t>
      </w:r>
    </w:p>
    <w:p w14:paraId="2EA5B2B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系统具有较强的自检功能和故障自恢复功能，能够承受运行中的各种干扰。</w:t>
      </w:r>
      <w:bookmarkStart w:id="85" w:name="_Toc161123821"/>
      <w:bookmarkStart w:id="86" w:name="_Toc161579573"/>
      <w:bookmarkStart w:id="87" w:name="_Toc161451707"/>
      <w:bookmarkStart w:id="88" w:name="_Toc185394252"/>
      <w:bookmarkStart w:id="89" w:name="_Toc161196673"/>
      <w:bookmarkStart w:id="90" w:name="_Toc185389266"/>
      <w:bookmarkStart w:id="91" w:name="_Toc161197029"/>
      <w:bookmarkStart w:id="92" w:name="_Toc161636879"/>
      <w:bookmarkStart w:id="93" w:name="_Toc161195840"/>
      <w:bookmarkStart w:id="94" w:name="_Toc185409433"/>
      <w:bookmarkStart w:id="95" w:name="_Toc161196395"/>
      <w:bookmarkStart w:id="96" w:name="_Toc161196853"/>
      <w:bookmarkStart w:id="97" w:name="_Toc161557406"/>
      <w:bookmarkStart w:id="98" w:name="_Toc185394411"/>
    </w:p>
    <w:p w14:paraId="5912C4A4">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7.1.1.5 PLC控制网络</w:t>
      </w:r>
      <w:bookmarkEnd w:id="85"/>
      <w:bookmarkEnd w:id="86"/>
      <w:bookmarkEnd w:id="87"/>
      <w:bookmarkEnd w:id="88"/>
      <w:bookmarkEnd w:id="89"/>
      <w:bookmarkEnd w:id="90"/>
      <w:bookmarkEnd w:id="91"/>
      <w:bookmarkEnd w:id="92"/>
      <w:bookmarkEnd w:id="93"/>
      <w:bookmarkEnd w:id="94"/>
      <w:bookmarkEnd w:id="95"/>
      <w:bookmarkEnd w:id="96"/>
      <w:bookmarkEnd w:id="97"/>
      <w:bookmarkEnd w:id="98"/>
      <w:r>
        <w:rPr>
          <w:rFonts w:hint="eastAsia" w:ascii="宋体" w:hAnsi="宋体" w:eastAsia="宋体" w:cs="宋体"/>
          <w:sz w:val="24"/>
          <w:szCs w:val="24"/>
          <w:lang w:val="en-US" w:eastAsia="zh-CN"/>
        </w:rPr>
        <w:t>：PLC控制层网络采用工业以太网，配合工业级交换机形成100Mbps光纤以太网环。该网络应具有以下功能：</w:t>
      </w:r>
    </w:p>
    <w:p w14:paraId="3EB6283D">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7.1.1. 5 .1  100兆通讯速率：即对每个具有IP 地址的设备，均有100 兆的通讯速率；</w:t>
      </w:r>
    </w:p>
    <w:p w14:paraId="7916B298">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7.1.1. 5 .2  信息传输是全双工方式，收发同时进行；</w:t>
      </w:r>
    </w:p>
    <w:p w14:paraId="3BC60B6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7.1.1. 5 .3  工业级的以太网，具有高可靠性，高安全性；</w:t>
      </w:r>
    </w:p>
    <w:p w14:paraId="3DBB44FF">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7.1.1. 5 .4  具有冗余网功能，万一某处的光纤断开，使得该总线不能正常工作，系统会自动沿着另一方向正常进行，从而保障工业控制的可靠性；</w:t>
      </w:r>
    </w:p>
    <w:p w14:paraId="08235C8A">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7.1.1. 5 .5  应具有功能齐全网络管理功能，报警功能，历史记录，分析等功能，网络运行稳定可靠；</w:t>
      </w:r>
    </w:p>
    <w:p w14:paraId="00FED97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7.1.1. 5 .6  网络的运行软件易升级；</w:t>
      </w:r>
    </w:p>
    <w:p w14:paraId="484267EE">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7.1.1. 5 .7  网络兼容性强，凡遵循TCP/IP 协议的设备都可入网，网络易于扩展； </w:t>
      </w:r>
    </w:p>
    <w:p w14:paraId="4C6C47A3">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7.1.1. 5 .8  网络为光纤网，抗干扰性好；</w:t>
      </w:r>
    </w:p>
    <w:p w14:paraId="3CC822AA">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7.1.1. 5 .9  支持多级开放式最短路径优先协议</w:t>
      </w:r>
    </w:p>
    <w:p w14:paraId="44E4D79E">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bookmarkStart w:id="99" w:name="_Toc161196403"/>
      <w:bookmarkStart w:id="100" w:name="_Toc161579581"/>
      <w:bookmarkStart w:id="101" w:name="_Toc161195848"/>
      <w:bookmarkStart w:id="102" w:name="_Toc161123824"/>
      <w:bookmarkStart w:id="103" w:name="_Toc161197037"/>
      <w:bookmarkStart w:id="104" w:name="_Toc161196861"/>
      <w:bookmarkStart w:id="105" w:name="_Toc161196681"/>
      <w:bookmarkStart w:id="106" w:name="_Toc161557414"/>
      <w:bookmarkStart w:id="107" w:name="_Toc161636887"/>
      <w:bookmarkStart w:id="108" w:name="_Toc161451715"/>
      <w:r>
        <w:rPr>
          <w:rFonts w:hint="eastAsia" w:ascii="宋体" w:hAnsi="宋体" w:eastAsia="宋体" w:cs="宋体"/>
          <w:sz w:val="24"/>
          <w:szCs w:val="24"/>
          <w:lang w:val="en-US" w:eastAsia="zh-CN"/>
        </w:rPr>
        <w:t>7.1.1. 6  PLC设备</w:t>
      </w:r>
      <w:bookmarkEnd w:id="99"/>
      <w:bookmarkEnd w:id="100"/>
      <w:bookmarkEnd w:id="101"/>
      <w:bookmarkEnd w:id="102"/>
      <w:bookmarkEnd w:id="103"/>
      <w:bookmarkEnd w:id="104"/>
      <w:bookmarkEnd w:id="105"/>
      <w:bookmarkEnd w:id="106"/>
      <w:bookmarkEnd w:id="107"/>
      <w:bookmarkEnd w:id="108"/>
    </w:p>
    <w:p w14:paraId="304E7D97">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7.1.1.6.1一般要求</w:t>
      </w:r>
    </w:p>
    <w:p w14:paraId="5B62BDDE">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作为全厂的主要控制设备PLC的选择应本着技术先进、性能优越、安全可靠、完全开放的原则，同时保证用户在选型、设计、施工、运行、维护、升级等各个阶段上总体最优的成本控制。</w:t>
      </w:r>
    </w:p>
    <w:p w14:paraId="5763BA3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自动控制系统重要设备及网络考虑冗余结构，确保系统的可靠性，以及流程的正常运作。</w:t>
      </w:r>
    </w:p>
    <w:p w14:paraId="6D68310C">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在背板电源和用户端电源不断开的情况下CPU、I/O模块、通讯模块及可拆卸端子排等必须能够支持带电插拨。</w:t>
      </w:r>
    </w:p>
    <w:p w14:paraId="5B6EFAE8">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各有源及无源信号均需设有信号隔离，防止出现信号干扰现象，满足电磁兼容性指令中群脉冲抗扰度和浪涌抗扰度CLASS A标准。</w:t>
      </w:r>
    </w:p>
    <w:p w14:paraId="1E9A9DA4">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硬件：采用模块式结构，每块模板具有独立的功能，电源、控制器、相互隔离的输入/输出通道。模板的数量有一定的扩展余地。</w:t>
      </w:r>
    </w:p>
    <w:p w14:paraId="5A91C138">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7.1.1.6.2  PLC应用模块</w:t>
      </w:r>
    </w:p>
    <w:p w14:paraId="0F34F1D4">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CPU模块：各站PLC同一系列产品，CPU应满足运行需要，保证足够的程序存储容量。</w:t>
      </w:r>
    </w:p>
    <w:p w14:paraId="6F1151CF">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电源模块</w:t>
      </w:r>
    </w:p>
    <w:p w14:paraId="77F3CF2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为控制器提供标准电压源，保护系统免受噪音与电源波动的干扰；</w:t>
      </w:r>
    </w:p>
    <w:p w14:paraId="071A1F21">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所配备的电源模块应具有能量保持功能；</w:t>
      </w:r>
    </w:p>
    <w:p w14:paraId="3247D70E">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工作电压：170~265VAV（与机架和模块相配）；</w:t>
      </w:r>
    </w:p>
    <w:p w14:paraId="52B41D57">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具有过流保护和过压保护功能</w:t>
      </w:r>
    </w:p>
    <w:p w14:paraId="475F9CF4">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具有运行状态LED灯显示（包括运行、故障状态）</w:t>
      </w:r>
    </w:p>
    <w:p w14:paraId="75E995B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数字输入模块（DI）</w:t>
      </w:r>
    </w:p>
    <w:p w14:paraId="7A7641EC">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输入电压：24VDC</w:t>
      </w:r>
    </w:p>
    <w:p w14:paraId="3C1E046F">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输入点数：按需</w:t>
      </w:r>
    </w:p>
    <w:p w14:paraId="0039F1B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具有光电隔离功能，每个输入点有对应的运行状态指示</w:t>
      </w:r>
    </w:p>
    <w:p w14:paraId="5968E16F">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连接方式：采用可拆卸式端子排或接线器连接</w:t>
      </w:r>
    </w:p>
    <w:p w14:paraId="1C03312F">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数字输出模块（DO）</w:t>
      </w:r>
    </w:p>
    <w:p w14:paraId="5A6A6ED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输入电压：24VDC</w:t>
      </w:r>
    </w:p>
    <w:p w14:paraId="3595B48C">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输入点数：按需</w:t>
      </w:r>
    </w:p>
    <w:p w14:paraId="54317FCD">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具有光电隔离功能，每个输入点有对应的运行状态指示</w:t>
      </w:r>
    </w:p>
    <w:p w14:paraId="2985DEC8">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连接方式：采用可拆卸式端子排或接线器连接</w:t>
      </w:r>
    </w:p>
    <w:p w14:paraId="5C1A2EF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模拟输入模块（AI）</w:t>
      </w:r>
    </w:p>
    <w:p w14:paraId="1352DCE4">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输入点数：按需</w:t>
      </w:r>
    </w:p>
    <w:p w14:paraId="5842CA3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输入范围：4-20mA</w:t>
      </w:r>
    </w:p>
    <w:p w14:paraId="31C131CA">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转换速度：≤12ms/点</w:t>
      </w:r>
    </w:p>
    <w:p w14:paraId="76477F8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精度（25℃）≤0.25%满量程</w:t>
      </w:r>
    </w:p>
    <w:p w14:paraId="1EDD418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连接方式：采用可拆卸式端子排或接线器连接</w:t>
      </w:r>
    </w:p>
    <w:p w14:paraId="037DD9D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模拟输出模块（AO）</w:t>
      </w:r>
    </w:p>
    <w:p w14:paraId="36FC3E1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输出点数：按需</w:t>
      </w:r>
    </w:p>
    <w:p w14:paraId="44552D2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输出范围：4-20mA</w:t>
      </w:r>
    </w:p>
    <w:p w14:paraId="069ACB6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转换速度：≤12ms/点</w:t>
      </w:r>
    </w:p>
    <w:p w14:paraId="035DE817">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精度（25℃）≤0.25%满量程</w:t>
      </w:r>
    </w:p>
    <w:p w14:paraId="12346F5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连接方式：采用可拆卸式端子排或接线器连接</w:t>
      </w:r>
    </w:p>
    <w:p w14:paraId="708CCFB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触摸屏</w:t>
      </w:r>
    </w:p>
    <w:p w14:paraId="40025281">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显 示 屏： PLC同一品牌</w:t>
      </w:r>
    </w:p>
    <w:p w14:paraId="2116878E">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触 摸 屏：12位电阻式</w:t>
      </w:r>
    </w:p>
    <w:p w14:paraId="0D3EDA9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处 理 器：32位Intel Xscale CPU300MHz</w:t>
      </w:r>
    </w:p>
    <w:p w14:paraId="2204384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    存：&gt;32MB内存、32M闪存（另可通过CF卡扩展）</w:t>
      </w:r>
    </w:p>
    <w:p w14:paraId="1B8973CD">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通信接口：RS232/485、10/100M以太网</w:t>
      </w:r>
    </w:p>
    <w:p w14:paraId="66E4D66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外壳材料：塑料ABS+PC</w:t>
      </w:r>
    </w:p>
    <w:p w14:paraId="57528DB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背 光 灯：2支CCFL、使用寿命大于50000小时</w:t>
      </w:r>
    </w:p>
    <w:p w14:paraId="7E7AFA9E">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颜    色：15位真彩色</w:t>
      </w:r>
    </w:p>
    <w:p w14:paraId="5F6D771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 辨 率：800×600</w:t>
      </w:r>
    </w:p>
    <w:p w14:paraId="592DF0CF">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亮    度：软件调节</w:t>
      </w:r>
    </w:p>
    <w:p w14:paraId="2F34321A">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 比 度：软件调节</w:t>
      </w:r>
    </w:p>
    <w:p w14:paraId="2C129D7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    源：24VDC（+/-20%）</w:t>
      </w:r>
    </w:p>
    <w:p w14:paraId="2C12B321">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防护等级：IP65前面板</w:t>
      </w:r>
    </w:p>
    <w:p w14:paraId="256EBC4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符合标准：UL508/C-UL, ATEX, CE</w:t>
      </w:r>
    </w:p>
    <w:bookmarkEnd w:id="75"/>
    <w:bookmarkEnd w:id="76"/>
    <w:bookmarkEnd w:id="77"/>
    <w:bookmarkEnd w:id="78"/>
    <w:bookmarkEnd w:id="79"/>
    <w:bookmarkEnd w:id="80"/>
    <w:bookmarkEnd w:id="81"/>
    <w:bookmarkEnd w:id="82"/>
    <w:bookmarkEnd w:id="83"/>
    <w:bookmarkEnd w:id="84"/>
    <w:p w14:paraId="7296F0C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bookmarkStart w:id="109" w:name="_Toc161451675"/>
      <w:bookmarkStart w:id="110" w:name="_Toc185409419"/>
      <w:bookmarkStart w:id="111" w:name="_Toc185389252"/>
      <w:bookmarkStart w:id="112" w:name="_Toc161196642"/>
      <w:bookmarkStart w:id="113" w:name="_Toc185394397"/>
      <w:bookmarkStart w:id="114" w:name="_Toc161636852"/>
      <w:bookmarkStart w:id="115" w:name="_Toc185394238"/>
      <w:bookmarkStart w:id="116" w:name="_Toc161579546"/>
      <w:bookmarkStart w:id="117" w:name="_Toc161196822"/>
      <w:bookmarkStart w:id="118" w:name="_Toc185394553"/>
      <w:bookmarkStart w:id="119" w:name="_Toc161196364"/>
      <w:bookmarkStart w:id="120" w:name="_Toc161557379"/>
      <w:bookmarkStart w:id="121" w:name="_Toc161123793"/>
      <w:bookmarkStart w:id="122" w:name="_Toc161196998"/>
      <w:bookmarkStart w:id="123" w:name="_Toc161195809"/>
      <w:r>
        <w:rPr>
          <w:rFonts w:hint="eastAsia" w:ascii="宋体" w:hAnsi="宋体" w:eastAsia="宋体" w:cs="宋体"/>
          <w:sz w:val="24"/>
          <w:szCs w:val="24"/>
          <w:lang w:val="en-US" w:eastAsia="zh-CN"/>
        </w:rPr>
        <w:t>7.1.1. 7  控制模式</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394AC0F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7.1.1. 7.1水厂自动化系统是一个以PLC控制为基础的集散型控制系统，自动化水平为正常运行时现场无人职守，中心控制室集中管理。</w:t>
      </w:r>
    </w:p>
    <w:p w14:paraId="3DE68008">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7.1.1. 7.2水厂设备的控制模式设三级控制：就地、现场PLC控制站、中心控制室。上、下控制级之间，下级控制的优先权高于上级。每一级均设有“手动/自动”两种控制方式。就地控制级设有“就地/遥控”两种方式，各设备均可通过“就地/遥控”选择开关切换实现手动操作。</w:t>
      </w:r>
    </w:p>
    <w:p w14:paraId="4AFF745C">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7.1.1. 7.3当现场PLC站发生故障时，可通过就地控制级上的“就地/遥控”选择开关切换实现设备的就地手动操作。</w:t>
      </w:r>
    </w:p>
    <w:p w14:paraId="6810EA9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7.1.1. 7.4生产系统数据全部经以太网送到中央控制室电脑上。</w:t>
      </w:r>
    </w:p>
    <w:p w14:paraId="5135D2E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7.1.1.8  自控系统结构</w:t>
      </w:r>
    </w:p>
    <w:p w14:paraId="52EE4C9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本次工程的自控系统分为3层结构：</w:t>
      </w:r>
    </w:p>
    <w:p w14:paraId="5A950D1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a.监控操作中心：由水厂操作员站、工程师站和工业以太网交换机等组成；</w:t>
      </w:r>
    </w:p>
    <w:p w14:paraId="48E99F4D">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 PLC控制站：由分散在各主要构筑物内的现场控制站与远程控制站组成。</w:t>
      </w:r>
    </w:p>
    <w:p w14:paraId="4D6CF14A">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c.现场控制设备：由PLC控制站下属远程I/O站、电气柜上智能单元、专用工艺设备附带的智能控制器等组成，成套设备通过总线连接入自控系统。</w:t>
      </w:r>
    </w:p>
    <w:p w14:paraId="7DC311DD">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bookmarkStart w:id="124" w:name="_Toc459643663"/>
      <w:bookmarkStart w:id="125" w:name="_Toc459643533"/>
      <w:bookmarkStart w:id="126" w:name="_Toc459643277"/>
      <w:bookmarkStart w:id="127" w:name="_Toc459643405"/>
      <w:bookmarkStart w:id="128" w:name="_Toc459640761"/>
      <w:bookmarkStart w:id="129" w:name="_Toc461183526"/>
      <w:r>
        <w:rPr>
          <w:rFonts w:hint="eastAsia" w:ascii="宋体" w:hAnsi="宋体" w:eastAsia="宋体" w:cs="宋体"/>
          <w:sz w:val="24"/>
          <w:szCs w:val="24"/>
          <w:lang w:val="en-US" w:eastAsia="zh-CN"/>
        </w:rPr>
        <w:t>7.1.2 、中央计算机管理系统</w:t>
      </w:r>
      <w:bookmarkEnd w:id="124"/>
      <w:bookmarkEnd w:id="125"/>
      <w:bookmarkEnd w:id="126"/>
      <w:bookmarkEnd w:id="127"/>
      <w:bookmarkEnd w:id="128"/>
      <w:bookmarkEnd w:id="129"/>
    </w:p>
    <w:p w14:paraId="6399AC9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bookmarkStart w:id="130" w:name="_Toc161196827"/>
      <w:bookmarkStart w:id="131" w:name="_Toc161557384"/>
      <w:bookmarkStart w:id="132" w:name="_Toc185389257"/>
      <w:bookmarkStart w:id="133" w:name="_Toc161196369"/>
      <w:bookmarkStart w:id="134" w:name="_Toc161579551"/>
      <w:bookmarkStart w:id="135" w:name="_Toc185394243"/>
      <w:bookmarkStart w:id="136" w:name="_Toc185394402"/>
      <w:bookmarkStart w:id="137" w:name="_Toc161451680"/>
      <w:bookmarkStart w:id="138" w:name="_Toc459643534"/>
      <w:bookmarkStart w:id="139" w:name="_Toc459640762"/>
      <w:bookmarkStart w:id="140" w:name="_Toc161123798"/>
      <w:bookmarkStart w:id="141" w:name="_Toc459643278"/>
      <w:bookmarkStart w:id="142" w:name="_Toc461183527"/>
      <w:bookmarkStart w:id="143" w:name="_Toc459643406"/>
      <w:bookmarkStart w:id="144" w:name="_Toc161195814"/>
      <w:bookmarkStart w:id="145" w:name="_Toc161196647"/>
      <w:bookmarkStart w:id="146" w:name="_Toc161636857"/>
      <w:bookmarkStart w:id="147" w:name="_Toc161197003"/>
      <w:bookmarkStart w:id="148" w:name="_Toc185409424"/>
      <w:bookmarkStart w:id="149" w:name="_Toc459643664"/>
      <w:r>
        <w:rPr>
          <w:rFonts w:hint="eastAsia" w:ascii="宋体" w:hAnsi="宋体" w:eastAsia="宋体" w:cs="宋体"/>
          <w:sz w:val="24"/>
          <w:szCs w:val="24"/>
          <w:lang w:val="en-US" w:eastAsia="zh-CN"/>
        </w:rPr>
        <w:t>7.1.2.1中央计算机管理系统描述</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436B535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7.1.2.1.1、监控中心设在水厂的中控室内，集中监视、控制、管理整个水厂的全部生产过程和工艺过程。对生产过程中的自动控制、报警、自动保护、自动操作、自动调节以及各工艺流程中的重要参数进行在线实时监控，对全厂工艺设备的工况进行实时监视。</w:t>
      </w:r>
    </w:p>
    <w:p w14:paraId="1A3618D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7.1.2.1.2、系统要求管理控制一体化，以计算机、网络系统的先进手段，实现水厂系统的运行管理控制一体化，形成调度、生产、生产信息管理、生产监督控制在内的综合信息管理系统。</w:t>
      </w:r>
    </w:p>
    <w:p w14:paraId="29DF1B4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bookmarkStart w:id="150" w:name="_Toc161451681"/>
      <w:bookmarkStart w:id="151" w:name="_Toc161195815"/>
      <w:bookmarkStart w:id="152" w:name="_Toc161196828"/>
      <w:bookmarkStart w:id="153" w:name="_Toc161197004"/>
      <w:bookmarkStart w:id="154" w:name="_Toc161636858"/>
      <w:bookmarkStart w:id="155" w:name="_Toc161557385"/>
      <w:bookmarkStart w:id="156" w:name="_Toc161123799"/>
      <w:bookmarkStart w:id="157" w:name="_Toc161196370"/>
      <w:bookmarkStart w:id="158" w:name="_Toc161579552"/>
      <w:bookmarkStart w:id="159" w:name="_Toc161196648"/>
      <w:r>
        <w:rPr>
          <w:rFonts w:hint="eastAsia" w:ascii="宋体" w:hAnsi="宋体" w:eastAsia="宋体" w:cs="宋体"/>
          <w:sz w:val="24"/>
          <w:szCs w:val="24"/>
          <w:lang w:val="en-US" w:eastAsia="zh-CN"/>
        </w:rPr>
        <w:t>7.1.2.1.3监控中心系统结构和硬件配置</w:t>
      </w:r>
      <w:bookmarkEnd w:id="150"/>
      <w:bookmarkEnd w:id="151"/>
      <w:bookmarkEnd w:id="152"/>
      <w:bookmarkEnd w:id="153"/>
      <w:bookmarkEnd w:id="154"/>
      <w:bookmarkEnd w:id="155"/>
      <w:bookmarkEnd w:id="156"/>
      <w:bookmarkEnd w:id="157"/>
      <w:bookmarkEnd w:id="158"/>
      <w:bookmarkEnd w:id="159"/>
      <w:r>
        <w:rPr>
          <w:rFonts w:hint="eastAsia" w:ascii="宋体" w:hAnsi="宋体" w:eastAsia="宋体" w:cs="宋体"/>
          <w:sz w:val="24"/>
          <w:szCs w:val="24"/>
          <w:lang w:val="en-US" w:eastAsia="zh-CN"/>
        </w:rPr>
        <w:t>要求</w:t>
      </w:r>
    </w:p>
    <w:p w14:paraId="24C48377">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7.1.2.1.3.1中控室设置C/S（客户机/服务器）结构形式的计算机网络，为100M交换式局域网络。</w:t>
      </w:r>
    </w:p>
    <w:p w14:paraId="7AAD6444">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7.1.2.1.3.2监控中心和厂内的各单体PLC控制系统采用以太网连接，网络形式为工业以太网，传输速率为100Mbps。与远程控制系统通过VPN光纤传输。</w:t>
      </w:r>
    </w:p>
    <w:p w14:paraId="1701AE7D">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7.1.2.1.3.3监控中心配置包括：4台工程师工作站、2台视频监控工作台、1台工业以太网交换机、不间断电源等。</w:t>
      </w:r>
    </w:p>
    <w:p w14:paraId="04B44F1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bookmarkStart w:id="160" w:name="_Toc161557386"/>
      <w:bookmarkStart w:id="161" w:name="_Toc161196371"/>
      <w:bookmarkStart w:id="162" w:name="_Toc161196829"/>
      <w:bookmarkStart w:id="163" w:name="_Toc161636859"/>
      <w:bookmarkStart w:id="164" w:name="_Toc161197005"/>
      <w:bookmarkStart w:id="165" w:name="_Toc161451682"/>
      <w:bookmarkStart w:id="166" w:name="_Toc161195816"/>
      <w:bookmarkStart w:id="167" w:name="_Toc161579553"/>
      <w:bookmarkStart w:id="168" w:name="_Toc161123800"/>
      <w:bookmarkStart w:id="169" w:name="_Toc161196649"/>
      <w:r>
        <w:rPr>
          <w:rFonts w:hint="eastAsia" w:ascii="宋体" w:hAnsi="宋体" w:eastAsia="宋体" w:cs="宋体"/>
          <w:sz w:val="24"/>
          <w:szCs w:val="24"/>
          <w:lang w:val="en-US" w:eastAsia="zh-CN"/>
        </w:rPr>
        <w:t>7.1.2.2主要硬件功能描述</w:t>
      </w:r>
      <w:bookmarkEnd w:id="160"/>
      <w:bookmarkEnd w:id="161"/>
      <w:bookmarkEnd w:id="162"/>
      <w:bookmarkEnd w:id="163"/>
      <w:bookmarkEnd w:id="164"/>
      <w:bookmarkEnd w:id="165"/>
      <w:bookmarkEnd w:id="166"/>
      <w:bookmarkEnd w:id="167"/>
      <w:bookmarkEnd w:id="168"/>
      <w:bookmarkEnd w:id="169"/>
    </w:p>
    <w:p w14:paraId="7A313343">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7.1.2.2.1 PLC控制柜</w:t>
      </w:r>
    </w:p>
    <w:p w14:paraId="3A570597">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7.1.2.2.1.1 一般要求</w:t>
      </w:r>
    </w:p>
    <w:p w14:paraId="38066C1E">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7.1.2.2.1.1.1  现场独立设置控制柜，带温控散热风扇、除湿器，PLC需具备模拟量输入、输出模块，数字量输入、输出模块，配备从站模块，以太网通讯模块；PLC安装位置需预留增设扩展模块位置空间；PLC控制柜用于外部设备的控制，同时负责采集各运行设备的运行状态信号和实时运行数据，并将采集的各种信号及数据组态显示在触摸屏上，通过厂内局域网络传输给监控中心。 </w:t>
      </w:r>
    </w:p>
    <w:p w14:paraId="3CC6DED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7.1.2.2.1.1.2  PLC外部设备接入输出要求：PLC应具有以太网通讯、MODBUS等多种通讯协议接口。PLC和各变频器之间采用MODBUS通讯协议进行数据交换和信号传输。需采集压力传感器、流量、液位传感器、水质数据等模拟信号数据，采集输入电接点压力表、液位开关、安防报警、水淹等无源开关量信号。</w:t>
      </w:r>
    </w:p>
    <w:p w14:paraId="3F0E415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7.1.2.2.1.1.3  触摸屏设置要求：配置与PLC同品牌的10英寸以上真彩高分辨率触摸屏。嵌入安装在控制柜正面面板，并有防水、防潮等安全措施。对话界面应汉化，显示清晰,便于操作，界面布局设置参考招标人已有水厂、泵房模式。</w:t>
      </w:r>
    </w:p>
    <w:p w14:paraId="47302D9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主要技术参数如下：</w:t>
      </w:r>
    </w:p>
    <w:p w14:paraId="70C7D5F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表面处理：柜体喷涂聚脂环氧树脂漆，安装板镀锌</w:t>
      </w:r>
    </w:p>
    <w:p w14:paraId="7C254CE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配有安装用的起重吊耳，带有可锁上的前门，防护等级为IP54。</w:t>
      </w:r>
    </w:p>
    <w:p w14:paraId="7729FFE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控制柜包括功能单元、控制保护等设备，对每个装置留有适当的空间便于接线和维修。</w:t>
      </w:r>
    </w:p>
    <w:p w14:paraId="154D5E91">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控制柜体外壳采用1.5mm厚的冷轧钢板, 采用折叠式的焊接结构, 前后开门，门上配有手柄和锁，后门上有铭牌,能够快速安装和拆卸,所有的门或出入口都用氯丁橡胶密封。</w:t>
      </w:r>
    </w:p>
    <w:p w14:paraId="366021BE">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控制柜内提供门控30W 荧光灯，安装在柜的顶部，并且要具有更换灯管的操作空间。柜体设有防小动物进入的通风装置。</w:t>
      </w:r>
    </w:p>
    <w:p w14:paraId="7E9B412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所有的输出信号均采用中间继电器进行隔离，中间继电器及空气开关、接触器、按钮等电器元件推荐采用施耐德、西门子和ABB同档次或更高档次产品。中间继电器应自带状态指示灯。</w:t>
      </w:r>
    </w:p>
    <w:p w14:paraId="55BD4744">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所有的电源进线均用空气开关进行隔离。</w:t>
      </w:r>
    </w:p>
    <w:p w14:paraId="583240B8">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柜体内元器件安装牢固、布局合理、符合电气规范。</w:t>
      </w:r>
    </w:p>
    <w:p w14:paraId="6E9A8E04">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柜体的接线端子推荐采用名牌端子，每个端子都有标记，并与安装施工图相对应。</w:t>
      </w:r>
    </w:p>
    <w:p w14:paraId="6B50DFA1">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柜体中的接线方式采用平板压接方式。</w:t>
      </w:r>
    </w:p>
    <w:p w14:paraId="3FDDD87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柜体中的走线槽按I/O要求配置，并留20%的余量。</w:t>
      </w:r>
    </w:p>
    <w:p w14:paraId="73D30F7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内有配电用及维修用的220VAC 电源插座，轨道式安装。</w:t>
      </w:r>
    </w:p>
    <w:p w14:paraId="37A1359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柜内所有线路用软铜线，按照负荷大小选定线径。不同功能的线用不同颜色区分。</w:t>
      </w:r>
    </w:p>
    <w:p w14:paraId="76F2AEC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柜内所有走线都经线槽。所有导出线和端子上做永久性编号，并与安装施工图相对应。</w:t>
      </w:r>
    </w:p>
    <w:p w14:paraId="26C8170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柜内提供2 条接地铜排，一条用于信号和屏蔽接地，一条用于设备和控制柜保护接地，信号接地母排安装在独立的支座上。每条接地母排上有不少于5个的接地点。</w:t>
      </w:r>
    </w:p>
    <w:p w14:paraId="36D1691E">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输入的电源应有熔丝、开关等隔离，做好接地/接零；</w:t>
      </w:r>
    </w:p>
    <w:p w14:paraId="23F8C49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电源缆线接至低压控制柜；</w:t>
      </w:r>
    </w:p>
    <w:p w14:paraId="1577255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自控缆线、接口满足工程范围；</w:t>
      </w:r>
    </w:p>
    <w:p w14:paraId="2AC315EC">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电源线、模拟信号线、数字开关量线尽量安放在不同的线束内；所有柜内外的接线应先通过柜体端子排，特殊设备可以直接与电线电缆相连。</w:t>
      </w:r>
    </w:p>
    <w:p w14:paraId="62A769DD">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系统总屏蔽、抗电磁干扰符合IEC801/VDE0843和国家GB中屏蔽、抗辐射有关技术</w:t>
      </w:r>
    </w:p>
    <w:p w14:paraId="28C3781C">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7.1.2.2.2监控操作工作站：</w:t>
      </w:r>
    </w:p>
    <w:p w14:paraId="0CBDA12F">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7.1.2.2.2.1监控操作工作站具有实时对工况监控、采集数据并进行存储和处理；保存各种系统组件如画面，报警定义，安全系统定义；并提供各种系统服务如报警检测，存储历史数据，进行安全管理等功能。</w:t>
      </w:r>
    </w:p>
    <w:p w14:paraId="7A9D69E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7.1.2.2.2.2监控工作站具有安全登录、密码保护和数据传输功能，支持TCP/IP协议，可以与企业的各种管理系统如：ERP系统进行无缝集成。</w:t>
      </w:r>
    </w:p>
    <w:p w14:paraId="450311C1">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7.1.2.2.2.3监控工作站安装SCADA软件运行软件，保存了水厂自动控制系统公用的数据和应用程序。</w:t>
      </w:r>
    </w:p>
    <w:p w14:paraId="63AB05BF">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7.1.2.2.2.4监控工作站的主要功能是数据管理，监控工作站通过软件系统实现对水厂各种工作数据、故障报警记录的存取，数据查询和网络管理。系统中的任何数据点都可根据用户指定的速率采样存储。数据处理主要包括历史数据的保存和历史数据的显示。这些存储的数据是进行系统优化和调整的强有力工具。工程师们可以通过这些数据检查引起某项特殊事件或事故发生的原因。</w:t>
      </w:r>
    </w:p>
    <w:p w14:paraId="67956A8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7.1.2.2.3.系统软件</w:t>
      </w:r>
    </w:p>
    <w:p w14:paraId="4AB512A1">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操作系统选择实时多任务多用户网络操作系统Windows7、Windows Server或以上版本，中文版本，配备汉字二级字库，具有开放式的软件接口，便于与外系统构成通讯链路。</w:t>
      </w:r>
    </w:p>
    <w:p w14:paraId="22DAB0CD">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7.1.2.2.3.1应用软件</w:t>
      </w:r>
    </w:p>
    <w:p w14:paraId="66341FF7">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控系统应该是开放的、灵活的，可以对控制系统进行监测、控制，具有动态画面显示功能、报警、报表输出功能、趋势预测功能、实时历史数据存储功能。软件应采用全中文操作模式，能够组态中文显示画面等功能。具有使用方便、简单易学、软件组态灵活的特性，应该确保用户可快速开发出实用、可靠、有效的自动控制系统。</w:t>
      </w:r>
    </w:p>
    <w:p w14:paraId="363F5FF7">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监控系统采用intouch最新版本，点位≥1000。</w:t>
      </w:r>
    </w:p>
    <w:p w14:paraId="7015FCA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bookmarkStart w:id="170" w:name="_Toc161196650"/>
      <w:bookmarkStart w:id="171" w:name="_Toc161123801"/>
      <w:bookmarkStart w:id="172" w:name="_Toc161451683"/>
      <w:bookmarkStart w:id="173" w:name="_Toc161557387"/>
      <w:bookmarkStart w:id="174" w:name="_Toc161636860"/>
      <w:bookmarkStart w:id="175" w:name="_Toc161196830"/>
      <w:bookmarkStart w:id="176" w:name="_Toc161579554"/>
      <w:bookmarkStart w:id="177" w:name="_Toc161195817"/>
      <w:bookmarkStart w:id="178" w:name="_Toc161197006"/>
      <w:bookmarkStart w:id="179" w:name="_Toc161196372"/>
      <w:r>
        <w:rPr>
          <w:rFonts w:hint="eastAsia" w:ascii="宋体" w:hAnsi="宋体" w:eastAsia="宋体" w:cs="宋体"/>
          <w:sz w:val="24"/>
          <w:szCs w:val="24"/>
          <w:lang w:val="en-US" w:eastAsia="zh-CN"/>
        </w:rPr>
        <w:t>7.1.2.2.3.2监控软件功能描述</w:t>
      </w:r>
      <w:bookmarkEnd w:id="170"/>
      <w:bookmarkEnd w:id="171"/>
      <w:bookmarkEnd w:id="172"/>
      <w:bookmarkEnd w:id="173"/>
      <w:bookmarkEnd w:id="174"/>
      <w:bookmarkEnd w:id="175"/>
      <w:bookmarkEnd w:id="176"/>
      <w:bookmarkEnd w:id="177"/>
      <w:bookmarkEnd w:id="178"/>
      <w:bookmarkEnd w:id="179"/>
    </w:p>
    <w:p w14:paraId="16FF512F">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7.1.2.2.3.2.1、管理功能</w:t>
      </w:r>
    </w:p>
    <w:p w14:paraId="2D303E5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根据全厂生产过程工艺仪表采集到的数据，生产设备运行中状态信号和电气数据以及化验数据和其他信息等，协调和管理全厂生产过程的生产调度，打印生产报表、绘制趋势曲线图，报警及事件记录。提供与水厂管理系统的接口。</w:t>
      </w:r>
    </w:p>
    <w:p w14:paraId="11824BF8">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生成水厂的生产工艺流程、变配电系统实时动态图，给水厂生产值班人员提供清晰、友善的人机界面，生动形象地反映生产工艺流程的实时数据、完成报警、历史数据、历史趋势曲线的存储、显示和查询。生成各类生产运行管理的班报、日报、月报和年报表。</w:t>
      </w:r>
    </w:p>
    <w:p w14:paraId="67207FB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7.1.2.2.3.2.2、控制功能</w:t>
      </w:r>
    </w:p>
    <w:p w14:paraId="6A830A5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在基于图形界面和中文提示方式下，水厂的生产值班人员在中控室通过计算机的键盘或鼠标开启或停止设备、设定控制调节参数。对重要设备的控制加设密码保护。</w:t>
      </w:r>
    </w:p>
    <w:p w14:paraId="7A0E29A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7.1.2.2.3.2.3、通讯功能</w:t>
      </w:r>
    </w:p>
    <w:p w14:paraId="0527803C">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中心控制室监控系统与其他系统进行通讯，如与现场的各PLC 分站之间的通讯、与上级管理调度系统之间的通讯、与第三方设备之间的通讯等等，可通过以太网交换机对PLC进行在线诊断、编辑、更新。</w:t>
      </w:r>
    </w:p>
    <w:p w14:paraId="3EC9D0A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7.1.2.2.3工艺控制显示功能</w:t>
      </w:r>
    </w:p>
    <w:p w14:paraId="2DB20FF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7.1.2.2.3.1工艺控制显示功能主要是人机界面功能。在水厂控制中心的监控计算机显示器上动态显示全厂各工艺流程、各工艺设备和配电设备的实时运行工况，各工艺和电气等生产数据的显示，使生产管理人员实时掌握全厂的生产运行情况，能从总图到详图多层次监视。人机界面总体结构为分层展开式，包括以下画面（应不局限于）：</w:t>
      </w:r>
    </w:p>
    <w:p w14:paraId="3B9A867F">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a、整体显示：</w:t>
      </w:r>
    </w:p>
    <w:p w14:paraId="12068761">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监控系统总图</w:t>
      </w:r>
    </w:p>
    <w:p w14:paraId="159D1A33">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全厂动态工艺流程总图</w:t>
      </w:r>
    </w:p>
    <w:p w14:paraId="1BBBAF6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自控系统总图</w:t>
      </w:r>
    </w:p>
    <w:p w14:paraId="696C0B81">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全厂总平面图</w:t>
      </w:r>
    </w:p>
    <w:p w14:paraId="194389AD">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全厂检测仪表位置图</w:t>
      </w:r>
    </w:p>
    <w:p w14:paraId="0566F13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配电系统图</w:t>
      </w:r>
    </w:p>
    <w:p w14:paraId="58902C9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b、分屏显示:</w:t>
      </w:r>
    </w:p>
    <w:p w14:paraId="728551E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各生产工艺段流程图</w:t>
      </w:r>
    </w:p>
    <w:p w14:paraId="062F3638">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各主要设备及相关辅助设备的状态和回路图等</w:t>
      </w:r>
    </w:p>
    <w:p w14:paraId="042F2D6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c、趋势显示：</w:t>
      </w:r>
    </w:p>
    <w:p w14:paraId="0126CC5E">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可用棒状图或线状图实时显示所有工艺参数和电气参数的变化趋势，可在一幅画面上选择1 个或8 个参数显示同一时间内的变化曲线图，并用不同颜色标识，显示数据应根据实时变化不断校正，光标值应在画面显示。</w:t>
      </w:r>
    </w:p>
    <w:p w14:paraId="737A8ACE">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操作员应可方便的调整趋势显示时间坐标或输入范围，其时间周期可由操作员设定（从1分钟到1 周连续可调），操作人员能够输入开始时间和结束时间，并随着时间周期的变化，数据采样频率也应相应变化。</w:t>
      </w:r>
    </w:p>
    <w:p w14:paraId="66B4CE88">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d、工况显示</w:t>
      </w:r>
    </w:p>
    <w:p w14:paraId="470881BA">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形象显示设备的工况：包括：就地手动、自动、运行、停止、故障、阀开到位、阀关到位、阀门故障以及可控调节阀的阀门开启度等，具体故障以文字显示。</w:t>
      </w:r>
    </w:p>
    <w:p w14:paraId="11349CE1">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能显示主要设备的启/停时间、本次运行时间、累计运行时间等。</w:t>
      </w:r>
    </w:p>
    <w:p w14:paraId="739ABEF3">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e、事件报警功能</w:t>
      </w:r>
    </w:p>
    <w:p w14:paraId="49D9D52F">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当某一参数超过设定值或设备出现故障时，在管理计算机上能及时发出声光报警，在报警时显示终端发出声音和闪光提醒值班人员，同时显示相应的提示和画面，并记录在报警数据库中，及时打印。</w:t>
      </w:r>
    </w:p>
    <w:p w14:paraId="5C67F217">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具有报警复位功能，对于未确认的报警应持续发出声光报警，在报警时间内应根据采集的信号动态改变报警级别。系统在显示总图和分系统图以及单体设备工艺图时，可在画面中显示设备故障纪录，使值班人员能够全面了解设备的故障情况。</w:t>
      </w:r>
    </w:p>
    <w:p w14:paraId="07C1E34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所有的报警信号应以时间先后排队，该队列可以在画面上显示并存储在报警数据库中，并显示报警信号是否被确认和是否已处理并恢复到正常的工况。报警可以抑制。</w:t>
      </w:r>
    </w:p>
    <w:p w14:paraId="27731B7F">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f、历史数据的管理</w:t>
      </w:r>
    </w:p>
    <w:p w14:paraId="716F2F9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1）历史数据的存档：</w:t>
      </w:r>
    </w:p>
    <w:p w14:paraId="52CCC501">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应具有实时数据库及相应的数据库接口。</w:t>
      </w:r>
    </w:p>
    <w:p w14:paraId="582709E8">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所有系统采集的实时数据都必须按类型、名称、属性分类，按时序依次存档，或写入数据库服务器。历史数据的采样周期在5 分钟到24 小时内连续可调。</w:t>
      </w:r>
    </w:p>
    <w:p w14:paraId="1914DDE3">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历史存储数据，可计算主要的生产指标（如配水电耗、综合电耗、药耗的最小值、最大值、平均值、偏差值、累积值等）。运行程序的结果也可以存储在历史资料库。所有的数据以及历史资料库都要可以方便的利用刻录机把数据刻录备份，以备查验。</w:t>
      </w:r>
    </w:p>
    <w:p w14:paraId="1A39BA28">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2）历史数据的显示：</w:t>
      </w:r>
    </w:p>
    <w:p w14:paraId="6EC4D1C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事件类：按要求进行检索。最新的事件列在第一个页面上第一条。</w:t>
      </w:r>
    </w:p>
    <w:p w14:paraId="7E78967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表格类：可按PLC 站名、点属性、日期分类列表，每排一个变量，表明时间、属性、测量范围、实时值，并用颜色和符号表明数据性质，也可以在表格上选定数据点，对其设定值，测量范围，数据性质进行修改（只能由具有相关权限的操作人员进行）。</w:t>
      </w:r>
    </w:p>
    <w:p w14:paraId="1B965EE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g、工艺参数设定功能：工艺参数设定有两大类：</w:t>
      </w:r>
    </w:p>
    <w:p w14:paraId="59EFA73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生产工艺控制点设定</w:t>
      </w:r>
    </w:p>
    <w:p w14:paraId="6ACD8F9A">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报警限设定：在中控室操作员计算机上均可实现上述工艺参数的设定。对于设定值都必须经过确认，对于错误的设定和超范围的设定计算机要进行屏蔽并送出“错误”信息，提示操作人员予以改正。</w:t>
      </w:r>
    </w:p>
    <w:p w14:paraId="5E38BAB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h、报表输出功能</w:t>
      </w:r>
    </w:p>
    <w:p w14:paraId="5F32459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系统接收各现场PLC分站提供的带时标的数据，并储存于服务器硬盘中，制作出日、月、季、年报表。各种报表及用户需要的各种数据图象均应可按照标准格式或用户需要的格式打印。</w:t>
      </w:r>
    </w:p>
    <w:p w14:paraId="011D2DB1">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可打印但不局限于以下报表，需根据水厂具体要求编写：</w:t>
      </w:r>
    </w:p>
    <w:p w14:paraId="26A3BD1D">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打印/显示水厂生产班、日、月、年报表</w:t>
      </w:r>
    </w:p>
    <w:p w14:paraId="3CB32F7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打印/显示水厂生产日志</w:t>
      </w:r>
    </w:p>
    <w:p w14:paraId="7BF70A6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打印/显示水厂生产综合日报表、月报表、季报表、年报表</w:t>
      </w:r>
    </w:p>
    <w:p w14:paraId="42813DCD">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打印/显示报警历史记录（含日、月、季、年报表）</w:t>
      </w:r>
    </w:p>
    <w:p w14:paraId="2384C70C">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i、出错处理</w:t>
      </w:r>
    </w:p>
    <w:p w14:paraId="3D77B92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系统在运行过程中出现非致命性错误，由终端显示报警信息。但不中止系统的运行。</w:t>
      </w:r>
    </w:p>
    <w:p w14:paraId="7800501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系统在运行过程中出现致命错误，由终端显示错误信息，并记录此信息，自动退回到初始状态。</w:t>
      </w:r>
    </w:p>
    <w:p w14:paraId="778AE457">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7.1.3  控制要求</w:t>
      </w:r>
    </w:p>
    <w:p w14:paraId="3BBE3703">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7.1.3.1有机膜超滤系统：根据沉淀池液位、清水池液位等参数，智能控制总进水阀门、进膜池阀门、产水阀门等设备自动运行，亦可远程干预强制启停设备；可根据实际情况选择任意组数、组别单独或联合运行</w:t>
      </w:r>
    </w:p>
    <w:p w14:paraId="4B76BEEF">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7.1.3.2加药系统：次氯酸钠可根据进水量进行比例投加，亦可根据膜产水余氯值反馈调整控制。 </w:t>
      </w:r>
    </w:p>
    <w:p w14:paraId="0F5D2F3E">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7.1.3.3反冲洗系统：可自定义选择自动控制方式，如跨膜压差、出厂浊度、周期，同时反冲洗现场界面具有手动一键冲洗、逐步冲洗功能、分步时间设置和时间反馈；单组反冲洗时不影响其他组别正常工作，同时需自动区分酸碱洗排放电动阀门</w:t>
      </w:r>
    </w:p>
    <w:p w14:paraId="4DE58E6E">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7.1.3.4 酸碱洗系统：可自定义选择自动控制方式，如周期，现场界面具有手动一键清洗功能。单组药洗时不影响其他组别正常工作，同时需区分反冲洗排放电动阀门</w:t>
      </w:r>
    </w:p>
    <w:p w14:paraId="19B2DCEB">
      <w:pPr>
        <w:pStyle w:val="4"/>
        <w:pageBreakBefore w:val="0"/>
        <w:widowControl w:val="0"/>
        <w:kinsoku/>
        <w:wordWrap/>
        <w:overflowPunct/>
        <w:topLinePunct w:val="0"/>
        <w:autoSpaceDE/>
        <w:autoSpaceDN/>
        <w:bidi w:val="0"/>
        <w:spacing w:before="120" w:beforeLines="0" w:after="120" w:afterLines="0" w:line="400" w:lineRule="exact"/>
        <w:ind w:left="0" w:right="0" w:firstLine="0"/>
        <w:jc w:val="both"/>
        <w:rPr>
          <w:rFonts w:hint="eastAsia" w:ascii="宋体" w:hAnsi="宋体" w:eastAsia="宋体" w:cs="宋体"/>
          <w:b/>
          <w:bCs/>
          <w:color w:val="000000"/>
          <w:spacing w:val="0"/>
          <w:sz w:val="24"/>
          <w:szCs w:val="24"/>
          <w:highlight w:val="none"/>
          <w:lang w:val="en-US" w:eastAsia="zh-CN"/>
        </w:rPr>
      </w:pPr>
      <w:r>
        <w:rPr>
          <w:rFonts w:hint="eastAsia" w:ascii="宋体" w:hAnsi="宋体" w:eastAsia="宋体" w:cs="宋体"/>
          <w:b/>
          <w:bCs/>
          <w:color w:val="000000"/>
          <w:spacing w:val="0"/>
          <w:sz w:val="24"/>
          <w:szCs w:val="24"/>
          <w:highlight w:val="none"/>
          <w:lang w:val="en-US" w:eastAsia="zh-CN"/>
        </w:rPr>
        <w:t>（八）计算机监控应用软件</w:t>
      </w:r>
    </w:p>
    <w:p w14:paraId="70A04F2C">
      <w:pPr>
        <w:spacing w:line="460" w:lineRule="atLeast"/>
        <w:ind w:firstLine="510"/>
        <w:rPr>
          <w:spacing w:val="8"/>
          <w:sz w:val="24"/>
        </w:rPr>
      </w:pPr>
      <w:r>
        <w:rPr>
          <w:rFonts w:hint="eastAsia"/>
          <w:spacing w:val="8"/>
          <w:sz w:val="24"/>
        </w:rPr>
        <w:t>支持输出2560×1440@25fps主码流。</w:t>
      </w:r>
    </w:p>
    <w:p w14:paraId="2E0E508B">
      <w:pPr>
        <w:spacing w:line="460" w:lineRule="atLeast"/>
        <w:ind w:firstLine="510"/>
        <w:rPr>
          <w:spacing w:val="8"/>
          <w:sz w:val="24"/>
        </w:rPr>
      </w:pPr>
      <w:r>
        <w:rPr>
          <w:rFonts w:hint="eastAsia"/>
          <w:spacing w:val="8"/>
          <w:sz w:val="24"/>
        </w:rPr>
        <w:t>具有不小于1/1.8"英寸传感器。</w:t>
      </w:r>
    </w:p>
    <w:p w14:paraId="47C08F04">
      <w:pPr>
        <w:spacing w:line="460" w:lineRule="atLeast"/>
        <w:ind w:firstLine="510"/>
        <w:rPr>
          <w:spacing w:val="8"/>
          <w:sz w:val="24"/>
        </w:rPr>
      </w:pPr>
      <w:r>
        <w:rPr>
          <w:rFonts w:hint="eastAsia"/>
          <w:spacing w:val="8"/>
          <w:sz w:val="24"/>
        </w:rPr>
        <w:t>最低照度：彩色不大于0.0002lx，黑白不大于0.0001lx。</w:t>
      </w:r>
    </w:p>
    <w:p w14:paraId="32C95E04">
      <w:pPr>
        <w:spacing w:line="460" w:lineRule="atLeast"/>
        <w:ind w:firstLine="510"/>
        <w:rPr>
          <w:spacing w:val="8"/>
          <w:sz w:val="24"/>
        </w:rPr>
      </w:pPr>
      <w:r>
        <w:rPr>
          <w:rFonts w:hint="eastAsia"/>
          <w:spacing w:val="8"/>
          <w:sz w:val="24"/>
        </w:rPr>
        <w:t>光圈不小于F1.0。</w:t>
      </w:r>
    </w:p>
    <w:p w14:paraId="38E779C5">
      <w:pPr>
        <w:spacing w:line="460" w:lineRule="atLeast"/>
        <w:ind w:firstLine="510"/>
        <w:rPr>
          <w:spacing w:val="8"/>
          <w:sz w:val="24"/>
        </w:rPr>
      </w:pPr>
      <w:r>
        <w:rPr>
          <w:rFonts w:hint="eastAsia"/>
          <w:spacing w:val="8"/>
          <w:sz w:val="24"/>
        </w:rPr>
        <w:t>支持H.264、H.265、MJPEG视频压缩标准。</w:t>
      </w:r>
    </w:p>
    <w:p w14:paraId="65DF575D">
      <w:pPr>
        <w:spacing w:line="460" w:lineRule="atLeast"/>
        <w:ind w:firstLine="510"/>
        <w:rPr>
          <w:spacing w:val="8"/>
          <w:sz w:val="24"/>
        </w:rPr>
      </w:pPr>
      <w:r>
        <w:rPr>
          <w:rFonts w:hint="eastAsia"/>
          <w:spacing w:val="8"/>
          <w:sz w:val="24"/>
        </w:rPr>
        <w:t>同一场景相同图像质量下设备在H.264或H.265编码时，开启智能编码和不开启智能编码相比，码率节约≥90%。</w:t>
      </w:r>
    </w:p>
    <w:p w14:paraId="1B2E2644">
      <w:pPr>
        <w:spacing w:line="460" w:lineRule="atLeast"/>
        <w:ind w:firstLine="510"/>
        <w:rPr>
          <w:spacing w:val="8"/>
          <w:sz w:val="24"/>
        </w:rPr>
      </w:pPr>
      <w:r>
        <w:rPr>
          <w:rFonts w:hint="eastAsia"/>
          <w:spacing w:val="8"/>
          <w:sz w:val="24"/>
        </w:rPr>
        <w:t>内置1颗CPU/GPU/NPU一体智能算法芯片。</w:t>
      </w:r>
    </w:p>
    <w:p w14:paraId="60168F2A">
      <w:pPr>
        <w:spacing w:line="460" w:lineRule="atLeast"/>
        <w:ind w:firstLine="510"/>
        <w:rPr>
          <w:spacing w:val="8"/>
          <w:sz w:val="24"/>
        </w:rPr>
      </w:pPr>
      <w:r>
        <w:rPr>
          <w:rFonts w:hint="eastAsia"/>
          <w:spacing w:val="8"/>
          <w:sz w:val="24"/>
        </w:rPr>
        <w:t>当智能分析行为类型为区域入侵、越界入侵、进入区域、离开区域时，报警检测目标设置为人体和/或车辆时，在设定的检测区域内出现光线明暗变化、 篮球滚动、狗行走、树摇晃、旗帜飘动情况时，不触发报警。</w:t>
      </w:r>
    </w:p>
    <w:p w14:paraId="442C6316">
      <w:pPr>
        <w:spacing w:line="460" w:lineRule="atLeast"/>
        <w:ind w:firstLine="510"/>
        <w:rPr>
          <w:spacing w:val="8"/>
          <w:sz w:val="24"/>
        </w:rPr>
      </w:pPr>
      <w:r>
        <w:rPr>
          <w:rFonts w:hint="eastAsia"/>
          <w:spacing w:val="8"/>
          <w:sz w:val="24"/>
        </w:rPr>
        <w:t>支持对出现在监控场景内的两眼瞳距不小于40像素的人脸进行检测。</w:t>
      </w:r>
    </w:p>
    <w:p w14:paraId="62121CF1">
      <w:pPr>
        <w:spacing w:line="460" w:lineRule="atLeast"/>
        <w:ind w:firstLine="510"/>
        <w:rPr>
          <w:spacing w:val="8"/>
          <w:sz w:val="24"/>
        </w:rPr>
      </w:pPr>
      <w:r>
        <w:rPr>
          <w:rFonts w:hint="eastAsia"/>
          <w:spacing w:val="8"/>
          <w:sz w:val="24"/>
        </w:rPr>
        <w:t>支持侧脸过滤功能，可过滤上下、左右倾斜角度超过预设值的人脸。</w:t>
      </w:r>
    </w:p>
    <w:p w14:paraId="5A9AA3B8">
      <w:pPr>
        <w:spacing w:line="460" w:lineRule="atLeast"/>
        <w:ind w:firstLine="510"/>
        <w:rPr>
          <w:spacing w:val="8"/>
          <w:sz w:val="24"/>
        </w:rPr>
      </w:pPr>
      <w:r>
        <w:rPr>
          <w:rFonts w:hint="eastAsia"/>
          <w:spacing w:val="8"/>
          <w:sz w:val="24"/>
        </w:rPr>
        <w:t>支持同时对检测区域内出现的人脸、人体、非机动车、车辆及车牌进行检测、框选、筛选抓拍，支持关联显示人脸和人体图片、车牌和车辆图片，支持新能源车牌的抓拍和识别。</w:t>
      </w:r>
    </w:p>
    <w:p w14:paraId="563133E1">
      <w:pPr>
        <w:spacing w:line="460" w:lineRule="atLeast"/>
        <w:ind w:firstLine="510"/>
        <w:rPr>
          <w:spacing w:val="8"/>
          <w:sz w:val="24"/>
        </w:rPr>
      </w:pPr>
      <w:r>
        <w:rPr>
          <w:rFonts w:hint="eastAsia"/>
          <w:spacing w:val="8"/>
          <w:sz w:val="24"/>
        </w:rPr>
        <w:t>镜头上部具备一体化遮阳模块，可遮挡与镜头平面夹角不大于13°的阳光或雨水。</w:t>
      </w:r>
    </w:p>
    <w:p w14:paraId="08F4B730">
      <w:pPr>
        <w:spacing w:line="460" w:lineRule="atLeast"/>
        <w:ind w:firstLine="510"/>
        <w:rPr>
          <w:spacing w:val="8"/>
          <w:sz w:val="24"/>
        </w:rPr>
      </w:pPr>
      <w:r>
        <w:rPr>
          <w:rFonts w:hint="eastAsia"/>
          <w:spacing w:val="8"/>
          <w:sz w:val="24"/>
        </w:rPr>
        <w:t>★具有不低于16颗补光灯，支持8颗远光灯、8颗近光灯，当环境照度降低至一定值时，可自动开启补光灯补光，样机在白天、夜晚均应输出彩色视频图像</w:t>
      </w:r>
      <w:r>
        <w:rPr>
          <w:rFonts w:hint="eastAsia"/>
          <w:spacing w:val="8"/>
          <w:sz w:val="24"/>
          <w:lang w:eastAsia="zh-CN"/>
        </w:rPr>
        <w:t>；</w:t>
      </w:r>
      <w:r>
        <w:rPr>
          <w:rFonts w:hint="eastAsia"/>
          <w:spacing w:val="8"/>
          <w:sz w:val="24"/>
        </w:rPr>
        <w:t>具有2个HDMI接口、1个VGA接口、2个RJ45网络接口、2个USB2.0接口、1个USB3.0接口、1个RS232接口、1个RS485接口、1个eSata接口、1路音频输入接口、1路音频输出接口；16路报警输入接口、9路报警输出接口、具有2路直流DC 12V输出接口（其中1路为Ctrl报警输出口）；可内置5个SATA接口硬盘（公安部检验报告证明）</w:t>
      </w:r>
    </w:p>
    <w:p w14:paraId="2B6DFCE9">
      <w:pPr>
        <w:spacing w:line="460" w:lineRule="atLeast"/>
        <w:ind w:firstLine="510"/>
        <w:rPr>
          <w:spacing w:val="8"/>
          <w:sz w:val="24"/>
        </w:rPr>
      </w:pPr>
      <w:r>
        <w:rPr>
          <w:rFonts w:hint="eastAsia"/>
          <w:spacing w:val="8"/>
          <w:sz w:val="24"/>
        </w:rPr>
        <w:t>镜头和补光灯分舱体左右布局，镜头舱体凸出补光平面。</w:t>
      </w:r>
    </w:p>
    <w:p w14:paraId="1B6FD878">
      <w:pPr>
        <w:spacing w:line="460" w:lineRule="atLeast"/>
        <w:ind w:firstLine="510"/>
        <w:rPr>
          <w:spacing w:val="8"/>
          <w:sz w:val="24"/>
        </w:rPr>
      </w:pPr>
      <w:r>
        <w:rPr>
          <w:rFonts w:hint="eastAsia"/>
          <w:spacing w:val="8"/>
          <w:sz w:val="24"/>
        </w:rPr>
        <w:t>支持不低于IP67防护等级。</w:t>
      </w:r>
    </w:p>
    <w:p w14:paraId="0A4392BA">
      <w:pPr>
        <w:spacing w:line="460" w:lineRule="atLeast"/>
        <w:ind w:firstLine="510"/>
        <w:rPr>
          <w:rFonts w:hint="eastAsia"/>
          <w:spacing w:val="8"/>
          <w:sz w:val="24"/>
        </w:rPr>
      </w:pPr>
      <w:r>
        <w:rPr>
          <w:rFonts w:hint="eastAsia"/>
          <w:spacing w:val="8"/>
          <w:sz w:val="24"/>
        </w:rPr>
        <w:t>内置1个麦克风，1个扬声器，支持1路报警输入，1路报警输出，1路音频输入，1路音频输出，1个RS485接口，支持DC12V/POE供电。</w:t>
      </w:r>
    </w:p>
    <w:p w14:paraId="53E5CE71">
      <w:pPr>
        <w:spacing w:line="460" w:lineRule="atLeast"/>
        <w:ind w:firstLine="510"/>
        <w:rPr>
          <w:spacing w:val="8"/>
          <w:sz w:val="24"/>
        </w:rPr>
      </w:pPr>
      <w:r>
        <w:rPr>
          <w:rFonts w:hint="eastAsia"/>
          <w:spacing w:val="8"/>
          <w:sz w:val="24"/>
        </w:rPr>
        <w:t>2）硬盘录像机</w:t>
      </w:r>
    </w:p>
    <w:p w14:paraId="1F654028">
      <w:pPr>
        <w:spacing w:line="460" w:lineRule="atLeast"/>
        <w:ind w:firstLine="510"/>
        <w:rPr>
          <w:rFonts w:hint="eastAsia" w:eastAsiaTheme="minorEastAsia"/>
          <w:spacing w:val="8"/>
          <w:sz w:val="24"/>
          <w:lang w:eastAsia="zh-CN"/>
        </w:rPr>
      </w:pPr>
      <w:r>
        <w:rPr>
          <w:rFonts w:hint="eastAsia"/>
          <w:spacing w:val="8"/>
          <w:sz w:val="24"/>
        </w:rPr>
        <w:t>企业技术要求：支持导入不同的语音文件，支持播报语音文件；支持人脸、周界、车辆检测、视频结构化的报警触发时联动语音播报</w:t>
      </w:r>
      <w:r>
        <w:rPr>
          <w:rFonts w:hint="eastAsia"/>
          <w:spacing w:val="8"/>
          <w:sz w:val="24"/>
          <w:lang w:eastAsia="zh-CN"/>
        </w:rPr>
        <w:t>；</w:t>
      </w:r>
    </w:p>
    <w:p w14:paraId="71428308">
      <w:pPr>
        <w:spacing w:line="460" w:lineRule="atLeast"/>
        <w:ind w:firstLine="510"/>
        <w:rPr>
          <w:rFonts w:hint="eastAsia" w:eastAsiaTheme="minorEastAsia"/>
          <w:spacing w:val="8"/>
          <w:sz w:val="24"/>
          <w:lang w:eastAsia="zh-CN"/>
        </w:rPr>
      </w:pPr>
      <w:r>
        <w:rPr>
          <w:rFonts w:hint="eastAsia"/>
          <w:spacing w:val="8"/>
          <w:sz w:val="24"/>
        </w:rPr>
        <w:t>接入带有温度报警、烟雾报警、障碍物遮挡报警、移动报警、防拆报警、紧急报警的智慧消防相机，当触发报警时，样机可联动录像、抓拍并保存图片、弹出报警画面、声音警告、上传中心、发送邮件、触发报警输出，并按通道、时间、类型检索报警图片，录像搜索结果支持图片和列表两种展现形式</w:t>
      </w:r>
      <w:r>
        <w:rPr>
          <w:rFonts w:hint="eastAsia"/>
          <w:spacing w:val="8"/>
          <w:sz w:val="24"/>
          <w:lang w:eastAsia="zh-CN"/>
        </w:rPr>
        <w:t>。</w:t>
      </w:r>
    </w:p>
    <w:p w14:paraId="23B69529">
      <w:pPr>
        <w:spacing w:line="360" w:lineRule="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三、商务条款</w:t>
      </w:r>
    </w:p>
    <w:p w14:paraId="76D8E3EB">
      <w:pPr>
        <w:pageBreakBefore w:val="0"/>
        <w:widowControl w:val="0"/>
        <w:kinsoku/>
        <w:wordWrap/>
        <w:overflowPunct/>
        <w:topLinePunct w:val="0"/>
        <w:autoSpaceDE/>
        <w:autoSpaceDN/>
        <w:bidi w:val="0"/>
        <w:adjustRightInd/>
        <w:spacing w:line="490" w:lineRule="exact"/>
        <w:textAlignment w:val="auto"/>
        <w:rPr>
          <w:rFonts w:hint="default" w:ascii="宋体" w:hAnsi="宋体" w:cs="黑体"/>
          <w:b/>
          <w:bCs/>
          <w:color w:val="auto"/>
          <w:sz w:val="22"/>
          <w:szCs w:val="24"/>
          <w:highlight w:val="none"/>
          <w:lang w:val="en-US" w:eastAsia="zh-CN"/>
        </w:rPr>
      </w:pPr>
      <w:bookmarkStart w:id="180" w:name="_Toc1608_WPSOffice_Level3"/>
      <w:r>
        <w:rPr>
          <w:rFonts w:hint="eastAsia" w:ascii="宋体" w:hAnsi="宋体" w:cs="黑体"/>
          <w:b/>
          <w:bCs/>
          <w:color w:val="auto"/>
          <w:sz w:val="22"/>
          <w:szCs w:val="24"/>
          <w:highlight w:val="none"/>
          <w:lang w:val="en-US" w:eastAsia="zh-CN"/>
        </w:rPr>
        <w:t>1、</w:t>
      </w:r>
      <w:bookmarkStart w:id="181" w:name="_Hlk507686560"/>
      <w:r>
        <w:rPr>
          <w:rFonts w:hint="eastAsia" w:ascii="宋体" w:hAnsi="宋体" w:cs="黑体"/>
          <w:b/>
          <w:bCs/>
          <w:color w:val="auto"/>
          <w:sz w:val="22"/>
          <w:szCs w:val="24"/>
          <w:highlight w:val="none"/>
          <w:lang w:val="en-US" w:eastAsia="zh-CN"/>
        </w:rPr>
        <w:t>质保期限及要求</w:t>
      </w:r>
    </w:p>
    <w:p w14:paraId="7E9A5E8D">
      <w:pPr>
        <w:pageBreakBefore w:val="0"/>
        <w:widowControl w:val="0"/>
        <w:kinsoku/>
        <w:wordWrap/>
        <w:overflowPunct/>
        <w:topLinePunct w:val="0"/>
        <w:autoSpaceDE/>
        <w:autoSpaceDN/>
        <w:bidi w:val="0"/>
        <w:adjustRightInd/>
        <w:spacing w:line="490" w:lineRule="exact"/>
        <w:ind w:firstLine="440" w:firstLineChars="200"/>
        <w:textAlignment w:val="auto"/>
        <w:rPr>
          <w:rFonts w:hint="eastAsia" w:ascii="宋体" w:hAnsi="宋体" w:eastAsia="宋体" w:cs="Times New Roman"/>
          <w:bCs/>
          <w:sz w:val="22"/>
          <w:szCs w:val="22"/>
          <w:lang w:eastAsia="zh-CN"/>
        </w:rPr>
      </w:pPr>
      <w:r>
        <w:rPr>
          <w:rFonts w:hint="eastAsia" w:ascii="宋体" w:hAnsi="宋体" w:eastAsia="宋体" w:cs="Times New Roman"/>
          <w:bCs/>
          <w:sz w:val="22"/>
          <w:szCs w:val="22"/>
          <w:lang w:val="en-US" w:eastAsia="zh-CN"/>
        </w:rPr>
        <w:t>1.1</w:t>
      </w:r>
      <w:r>
        <w:rPr>
          <w:rFonts w:hint="eastAsia" w:ascii="宋体" w:hAnsi="宋体" w:eastAsia="宋体" w:cs="Times New Roman"/>
          <w:bCs/>
          <w:sz w:val="22"/>
          <w:szCs w:val="22"/>
          <w:lang w:eastAsia="zh-CN"/>
        </w:rPr>
        <w:t>质保期限：整机质量保证期</w:t>
      </w:r>
      <w:r>
        <w:rPr>
          <w:rFonts w:hint="eastAsia" w:ascii="宋体" w:hAnsi="宋体" w:eastAsia="宋体" w:cs="Times New Roman"/>
          <w:bCs/>
          <w:sz w:val="22"/>
          <w:szCs w:val="22"/>
          <w:lang w:val="en-US" w:eastAsia="zh-CN"/>
        </w:rPr>
        <w:t>为2</w:t>
      </w:r>
      <w:r>
        <w:rPr>
          <w:rFonts w:hint="eastAsia" w:ascii="宋体" w:hAnsi="宋体" w:eastAsia="宋体" w:cs="Times New Roman"/>
          <w:bCs/>
          <w:sz w:val="22"/>
          <w:szCs w:val="22"/>
          <w:lang w:eastAsia="zh-CN"/>
        </w:rPr>
        <w:t>年，</w:t>
      </w:r>
      <w:r>
        <w:rPr>
          <w:rFonts w:hint="eastAsia" w:ascii="宋体" w:hAnsi="宋体" w:eastAsia="宋体" w:cs="Times New Roman"/>
          <w:bCs/>
          <w:sz w:val="22"/>
          <w:szCs w:val="22"/>
          <w:lang w:val="en-US" w:eastAsia="zh-CN"/>
        </w:rPr>
        <w:t>设备和配套</w:t>
      </w:r>
      <w:r>
        <w:rPr>
          <w:rFonts w:hint="eastAsia" w:ascii="宋体" w:hAnsi="宋体" w:eastAsia="宋体" w:cs="Times New Roman"/>
          <w:bCs/>
          <w:sz w:val="22"/>
          <w:szCs w:val="22"/>
          <w:lang w:eastAsia="zh-CN"/>
        </w:rPr>
        <w:t>组件出现质量问题由</w:t>
      </w:r>
      <w:r>
        <w:rPr>
          <w:rFonts w:hint="eastAsia" w:ascii="宋体" w:hAnsi="宋体" w:eastAsia="宋体" w:cs="Times New Roman"/>
          <w:bCs/>
          <w:sz w:val="22"/>
          <w:szCs w:val="22"/>
          <w:lang w:val="en-US" w:eastAsia="zh-CN"/>
        </w:rPr>
        <w:t>中标供应商</w:t>
      </w:r>
      <w:r>
        <w:rPr>
          <w:rFonts w:hint="eastAsia" w:ascii="宋体" w:hAnsi="宋体" w:eastAsia="宋体" w:cs="Times New Roman"/>
          <w:bCs/>
          <w:sz w:val="22"/>
          <w:szCs w:val="22"/>
          <w:lang w:eastAsia="zh-CN"/>
        </w:rPr>
        <w:t>负责免费维修，时间均为验收合格并交付使用之日起计算。</w:t>
      </w:r>
    </w:p>
    <w:p w14:paraId="5C33329B">
      <w:pPr>
        <w:pageBreakBefore w:val="0"/>
        <w:widowControl w:val="0"/>
        <w:kinsoku/>
        <w:wordWrap/>
        <w:overflowPunct/>
        <w:topLinePunct w:val="0"/>
        <w:autoSpaceDE/>
        <w:autoSpaceDN/>
        <w:bidi w:val="0"/>
        <w:adjustRightInd/>
        <w:spacing w:line="490" w:lineRule="exact"/>
        <w:ind w:firstLine="440" w:firstLineChars="200"/>
        <w:textAlignment w:val="auto"/>
        <w:rPr>
          <w:rFonts w:hint="default" w:ascii="宋体" w:hAnsi="宋体" w:cs="黑体"/>
          <w:b/>
          <w:bCs/>
          <w:color w:val="auto"/>
          <w:sz w:val="22"/>
          <w:szCs w:val="24"/>
          <w:highlight w:val="none"/>
          <w:lang w:val="en-US" w:eastAsia="zh-CN"/>
        </w:rPr>
      </w:pPr>
      <w:r>
        <w:rPr>
          <w:rFonts w:hint="eastAsia" w:ascii="宋体" w:hAnsi="宋体" w:eastAsia="宋体" w:cs="Times New Roman"/>
          <w:bCs/>
          <w:sz w:val="22"/>
          <w:szCs w:val="22"/>
          <w:lang w:val="en-US" w:eastAsia="zh-CN"/>
        </w:rPr>
        <w:t>1.2</w:t>
      </w:r>
      <w:r>
        <w:rPr>
          <w:rFonts w:hint="eastAsia" w:ascii="宋体" w:hAnsi="宋体" w:eastAsia="宋体" w:cs="Times New Roman"/>
          <w:bCs/>
          <w:sz w:val="22"/>
          <w:szCs w:val="22"/>
          <w:lang w:eastAsia="zh-CN"/>
        </w:rPr>
        <w:t>质量保修期内免费（含配件）上门服务，质量保修期外仅收取配件成本费（免维修费及差旅费），终身维修。投标设备厂商本身承诺的产品质保期高于采购文件要求的则按照中标人承诺执行。中标供应商应具备相应的维护保养服务能力，包括拥有本次所出售货物的备件配件、专用设备和专业技术人员，对货物进行终生维护和修理。如属硬件故障原因而且在到达故障现场无法排除故障的，须三天内提供同型号新机更换以保证招标人的设备的正常运行。</w:t>
      </w:r>
      <w:bookmarkEnd w:id="181"/>
    </w:p>
    <w:p w14:paraId="3B6E3AA3">
      <w:pPr>
        <w:widowControl/>
        <w:autoSpaceDE w:val="0"/>
        <w:autoSpaceDN w:val="0"/>
        <w:adjustRightInd w:val="0"/>
        <w:snapToGrid w:val="0"/>
        <w:spacing w:line="400" w:lineRule="exact"/>
        <w:textAlignment w:val="bottom"/>
        <w:rPr>
          <w:rFonts w:hint="eastAsia" w:ascii="宋体" w:hAnsi="宋体" w:eastAsia="宋体" w:cs="黑体"/>
          <w:b/>
          <w:color w:val="auto"/>
          <w:sz w:val="22"/>
          <w:szCs w:val="24"/>
          <w:highlight w:val="none"/>
        </w:rPr>
      </w:pPr>
      <w:r>
        <w:rPr>
          <w:rFonts w:hint="eastAsia" w:ascii="宋体" w:hAnsi="宋体" w:cs="黑体"/>
          <w:b/>
          <w:bCs/>
          <w:color w:val="auto"/>
          <w:sz w:val="22"/>
          <w:szCs w:val="24"/>
          <w:highlight w:val="none"/>
          <w:lang w:val="en-US" w:eastAsia="zh-CN"/>
        </w:rPr>
        <w:t>2</w:t>
      </w:r>
      <w:r>
        <w:rPr>
          <w:rFonts w:hint="eastAsia" w:ascii="宋体" w:hAnsi="宋体" w:eastAsia="宋体" w:cs="黑体"/>
          <w:b/>
          <w:color w:val="auto"/>
          <w:sz w:val="22"/>
          <w:szCs w:val="24"/>
          <w:highlight w:val="none"/>
        </w:rPr>
        <w:t>、付款方式</w:t>
      </w:r>
      <w:bookmarkEnd w:id="180"/>
    </w:p>
    <w:p w14:paraId="3E02D5A5">
      <w:pPr>
        <w:widowControl/>
        <w:autoSpaceDE w:val="0"/>
        <w:autoSpaceDN w:val="0"/>
        <w:adjustRightInd w:val="0"/>
        <w:spacing w:line="400" w:lineRule="exact"/>
        <w:ind w:firstLine="440" w:firstLineChars="200"/>
        <w:textAlignment w:val="bottom"/>
        <w:rPr>
          <w:rFonts w:hint="eastAsia" w:ascii="宋体" w:hAnsi="Calibri" w:eastAsia="宋体" w:cs="黑体"/>
          <w:color w:val="auto"/>
          <w:sz w:val="22"/>
          <w:szCs w:val="24"/>
          <w:highlight w:val="none"/>
          <w:lang w:eastAsia="zh-CN"/>
        </w:rPr>
      </w:pPr>
      <w:r>
        <w:rPr>
          <w:rFonts w:hint="eastAsia" w:ascii="宋体" w:cs="黑体"/>
          <w:color w:val="auto"/>
          <w:sz w:val="22"/>
          <w:szCs w:val="24"/>
          <w:highlight w:val="none"/>
          <w:lang w:val="en-US" w:eastAsia="zh-CN"/>
        </w:rPr>
        <w:t>1</w:t>
      </w:r>
      <w:r>
        <w:rPr>
          <w:rFonts w:hint="eastAsia" w:ascii="宋体" w:hAnsi="Calibri" w:eastAsia="宋体" w:cs="黑体"/>
          <w:color w:val="auto"/>
          <w:sz w:val="22"/>
          <w:szCs w:val="24"/>
          <w:highlight w:val="none"/>
        </w:rPr>
        <w:t xml:space="preserve">.1 </w:t>
      </w:r>
      <w:r>
        <w:rPr>
          <w:rFonts w:hint="eastAsia" w:ascii="宋体" w:cs="黑体"/>
          <w:color w:val="auto"/>
          <w:sz w:val="22"/>
          <w:szCs w:val="24"/>
          <w:highlight w:val="none"/>
          <w:lang w:eastAsia="zh-CN"/>
        </w:rPr>
        <w:t>合同签订后7日历天内，</w:t>
      </w:r>
      <w:r>
        <w:rPr>
          <w:rFonts w:hint="eastAsia" w:ascii="宋体" w:cs="黑体"/>
          <w:color w:val="auto"/>
          <w:sz w:val="22"/>
          <w:szCs w:val="24"/>
          <w:highlight w:val="none"/>
          <w:lang w:val="en-US" w:eastAsia="zh-CN"/>
        </w:rPr>
        <w:t>中标供应商</w:t>
      </w:r>
      <w:r>
        <w:rPr>
          <w:rFonts w:hint="eastAsia" w:ascii="宋体" w:cs="黑体"/>
          <w:color w:val="auto"/>
          <w:sz w:val="22"/>
          <w:szCs w:val="24"/>
          <w:highlight w:val="none"/>
          <w:lang w:eastAsia="zh-CN"/>
        </w:rPr>
        <w:t>应提供合同总金额1%的履约保证金。供应商以银行、保险公司出具保函形式提交履约保证金的，采购人不得拒收。</w:t>
      </w:r>
    </w:p>
    <w:p w14:paraId="79F5E8D3">
      <w:pPr>
        <w:widowControl/>
        <w:autoSpaceDE w:val="0"/>
        <w:autoSpaceDN w:val="0"/>
        <w:adjustRightInd w:val="0"/>
        <w:spacing w:line="400" w:lineRule="exact"/>
        <w:ind w:firstLine="440" w:firstLineChars="200"/>
        <w:textAlignment w:val="bottom"/>
        <w:rPr>
          <w:rFonts w:hint="eastAsia" w:ascii="Calibri" w:hAnsi="Calibri" w:eastAsia="宋体" w:cs="黑体"/>
          <w:b/>
          <w:bCs/>
          <w:color w:val="auto"/>
          <w:sz w:val="22"/>
          <w:szCs w:val="22"/>
          <w:highlight w:val="none"/>
        </w:rPr>
      </w:pPr>
      <w:r>
        <w:rPr>
          <w:rFonts w:hint="eastAsia" w:ascii="宋体" w:cs="黑体"/>
          <w:b w:val="0"/>
          <w:bCs w:val="0"/>
          <w:color w:val="auto"/>
          <w:sz w:val="22"/>
          <w:szCs w:val="24"/>
          <w:highlight w:val="none"/>
          <w:lang w:val="en-US" w:eastAsia="zh-CN"/>
        </w:rPr>
        <w:t>1</w:t>
      </w:r>
      <w:r>
        <w:rPr>
          <w:rFonts w:hint="eastAsia" w:ascii="宋体" w:hAnsi="Calibri" w:eastAsia="宋体" w:cs="黑体"/>
          <w:b w:val="0"/>
          <w:bCs w:val="0"/>
          <w:color w:val="auto"/>
          <w:sz w:val="22"/>
          <w:szCs w:val="24"/>
          <w:highlight w:val="none"/>
        </w:rPr>
        <w:t xml:space="preserve">.2 </w:t>
      </w:r>
      <w:r>
        <w:rPr>
          <w:rFonts w:hint="eastAsia" w:ascii="宋体" w:hAnsi="宋体" w:cs="黑体"/>
          <w:b w:val="0"/>
          <w:bCs w:val="0"/>
          <w:color w:val="auto"/>
          <w:sz w:val="22"/>
          <w:szCs w:val="24"/>
          <w:highlight w:val="none"/>
          <w:lang w:eastAsia="zh-CN"/>
        </w:rPr>
        <w:t>在合同生效以及具备实施条件后采购人支付合同款的40%；设备安装调试完成并通过验收合格</w:t>
      </w:r>
      <w:r>
        <w:rPr>
          <w:rFonts w:hint="eastAsia" w:ascii="宋体" w:hAnsi="宋体" w:cs="黑体"/>
          <w:b w:val="0"/>
          <w:bCs w:val="0"/>
          <w:color w:val="auto"/>
          <w:sz w:val="22"/>
          <w:szCs w:val="24"/>
          <w:highlight w:val="none"/>
          <w:lang w:val="en-US" w:eastAsia="zh-CN"/>
        </w:rPr>
        <w:t>后支付合同</w:t>
      </w:r>
      <w:r>
        <w:rPr>
          <w:rFonts w:hint="eastAsia" w:ascii="宋体" w:hAnsi="宋体" w:cs="黑体"/>
          <w:b w:val="0"/>
          <w:bCs w:val="0"/>
          <w:color w:val="auto"/>
          <w:sz w:val="22"/>
          <w:szCs w:val="24"/>
          <w:highlight w:val="none"/>
          <w:lang w:eastAsia="zh-CN"/>
        </w:rPr>
        <w:t>款的</w:t>
      </w:r>
      <w:r>
        <w:rPr>
          <w:rFonts w:hint="eastAsia" w:ascii="宋体" w:hAnsi="宋体" w:cs="黑体"/>
          <w:b w:val="0"/>
          <w:bCs w:val="0"/>
          <w:color w:val="auto"/>
          <w:sz w:val="22"/>
          <w:szCs w:val="24"/>
          <w:highlight w:val="none"/>
          <w:lang w:val="en-US" w:eastAsia="zh-CN"/>
        </w:rPr>
        <w:t>3</w:t>
      </w:r>
      <w:r>
        <w:rPr>
          <w:rFonts w:hint="eastAsia" w:ascii="宋体" w:hAnsi="宋体" w:cs="黑体"/>
          <w:b w:val="0"/>
          <w:bCs w:val="0"/>
          <w:color w:val="auto"/>
          <w:sz w:val="22"/>
          <w:szCs w:val="24"/>
          <w:highlight w:val="none"/>
          <w:lang w:eastAsia="zh-CN"/>
        </w:rPr>
        <w:t>0%，经试运行</w:t>
      </w:r>
      <w:r>
        <w:rPr>
          <w:rFonts w:hint="eastAsia" w:ascii="宋体" w:hAnsi="宋体" w:cs="黑体"/>
          <w:b w:val="0"/>
          <w:bCs w:val="0"/>
          <w:color w:val="auto"/>
          <w:sz w:val="22"/>
          <w:szCs w:val="24"/>
          <w:highlight w:val="none"/>
          <w:lang w:val="en-US" w:eastAsia="zh-CN"/>
        </w:rPr>
        <w:t>二</w:t>
      </w:r>
      <w:r>
        <w:rPr>
          <w:rFonts w:hint="eastAsia" w:ascii="宋体" w:hAnsi="宋体" w:cs="黑体"/>
          <w:b w:val="0"/>
          <w:bCs w:val="0"/>
          <w:color w:val="auto"/>
          <w:sz w:val="22"/>
          <w:szCs w:val="24"/>
          <w:highlight w:val="none"/>
          <w:lang w:eastAsia="zh-CN"/>
        </w:rPr>
        <w:t>个月后，</w:t>
      </w:r>
      <w:r>
        <w:rPr>
          <w:rFonts w:hint="eastAsia" w:ascii="宋体" w:hAnsi="宋体" w:cs="黑体"/>
          <w:b w:val="0"/>
          <w:bCs w:val="0"/>
          <w:color w:val="auto"/>
          <w:sz w:val="22"/>
          <w:szCs w:val="24"/>
          <w:highlight w:val="none"/>
          <w:lang w:val="en-US" w:eastAsia="zh-CN"/>
        </w:rPr>
        <w:t>设备</w:t>
      </w:r>
      <w:r>
        <w:rPr>
          <w:rFonts w:hint="eastAsia" w:ascii="宋体" w:hAnsi="宋体" w:cs="黑体"/>
          <w:b w:val="0"/>
          <w:bCs w:val="0"/>
          <w:color w:val="auto"/>
          <w:sz w:val="22"/>
          <w:szCs w:val="24"/>
          <w:highlight w:val="none"/>
          <w:lang w:eastAsia="zh-CN"/>
        </w:rPr>
        <w:t>符合要求</w:t>
      </w:r>
      <w:r>
        <w:rPr>
          <w:rFonts w:hint="eastAsia" w:ascii="宋体" w:hAnsi="宋体" w:cs="黑体"/>
          <w:b w:val="0"/>
          <w:bCs w:val="0"/>
          <w:color w:val="auto"/>
          <w:sz w:val="22"/>
          <w:szCs w:val="24"/>
          <w:highlight w:val="none"/>
          <w:lang w:val="en-US" w:eastAsia="zh-CN"/>
        </w:rPr>
        <w:t>的</w:t>
      </w:r>
      <w:r>
        <w:rPr>
          <w:rFonts w:hint="eastAsia" w:ascii="宋体" w:hAnsi="宋体" w:cs="黑体"/>
          <w:b w:val="0"/>
          <w:bCs w:val="0"/>
          <w:color w:val="auto"/>
          <w:sz w:val="22"/>
          <w:szCs w:val="24"/>
          <w:highlight w:val="none"/>
          <w:lang w:eastAsia="zh-CN"/>
        </w:rPr>
        <w:t>，采购人支付</w:t>
      </w:r>
      <w:r>
        <w:rPr>
          <w:rFonts w:hint="eastAsia" w:ascii="宋体" w:hAnsi="宋体" w:cs="黑体"/>
          <w:b w:val="0"/>
          <w:bCs w:val="0"/>
          <w:color w:val="auto"/>
          <w:sz w:val="22"/>
          <w:szCs w:val="24"/>
          <w:highlight w:val="none"/>
          <w:lang w:val="en-US" w:eastAsia="zh-CN"/>
        </w:rPr>
        <w:t>合同款的30%</w:t>
      </w:r>
      <w:r>
        <w:rPr>
          <w:rFonts w:hint="eastAsia" w:ascii="宋体" w:hAnsi="宋体" w:cs="黑体"/>
          <w:b w:val="0"/>
          <w:bCs w:val="0"/>
          <w:color w:val="auto"/>
          <w:sz w:val="22"/>
          <w:szCs w:val="24"/>
          <w:highlight w:val="none"/>
          <w:lang w:eastAsia="zh-CN"/>
        </w:rPr>
        <w:t>。（中标供应商必须开具合同金额100%的增值税专用发票）。</w:t>
      </w:r>
      <w:r>
        <w:rPr>
          <w:rFonts w:hint="eastAsia" w:ascii="宋体" w:hAnsi="宋体" w:eastAsia="宋体" w:cs="黑体"/>
          <w:color w:val="auto"/>
          <w:sz w:val="22"/>
          <w:szCs w:val="24"/>
          <w:highlight w:val="none"/>
        </w:rPr>
        <w:br w:type="textWrapping"/>
      </w:r>
      <w:r>
        <w:rPr>
          <w:rFonts w:hint="eastAsia" w:ascii="宋体" w:hAnsi="宋体" w:eastAsia="宋体" w:cs="黑体"/>
          <w:color w:val="auto"/>
          <w:sz w:val="22"/>
          <w:szCs w:val="24"/>
          <w:highlight w:val="none"/>
        </w:rPr>
        <w:t xml:space="preserve">    </w:t>
      </w:r>
      <w:bookmarkStart w:id="182" w:name="_Toc17245_WPSOffice_Level3"/>
      <w:r>
        <w:rPr>
          <w:rFonts w:hint="eastAsia" w:ascii="Calibri" w:hAnsi="Calibri" w:eastAsia="宋体" w:cs="黑体"/>
          <w:b/>
          <w:bCs/>
          <w:color w:val="auto"/>
          <w:sz w:val="22"/>
          <w:szCs w:val="22"/>
          <w:highlight w:val="none"/>
        </w:rPr>
        <w:t>注：每次付款均在收到中标方发票7个工作日内支付。</w:t>
      </w:r>
    </w:p>
    <w:p w14:paraId="28C9C771">
      <w:pPr>
        <w:keepNext/>
        <w:keepLines/>
        <w:pageBreakBefore w:val="0"/>
        <w:widowControl w:val="0"/>
        <w:kinsoku/>
        <w:wordWrap/>
        <w:overflowPunct/>
        <w:topLinePunct w:val="0"/>
        <w:autoSpaceDE/>
        <w:autoSpaceDN/>
        <w:bidi w:val="0"/>
        <w:adjustRightInd/>
        <w:spacing w:line="490" w:lineRule="exact"/>
        <w:textAlignment w:val="auto"/>
        <w:outlineLvl w:val="1"/>
        <w:rPr>
          <w:rFonts w:hint="eastAsia" w:ascii="宋体" w:hAnsi="宋体" w:eastAsia="宋体" w:cs="宋体"/>
          <w:b/>
          <w:sz w:val="22"/>
          <w:szCs w:val="22"/>
          <w:lang w:val="en-US" w:eastAsia="zh-CN"/>
        </w:rPr>
      </w:pPr>
      <w:r>
        <w:rPr>
          <w:rFonts w:hint="eastAsia" w:ascii="宋体" w:cs="黑体"/>
          <w:b/>
          <w:bCs w:val="0"/>
          <w:color w:val="auto"/>
          <w:sz w:val="22"/>
          <w:szCs w:val="24"/>
          <w:highlight w:val="none"/>
          <w:lang w:val="en-US" w:eastAsia="zh-CN"/>
        </w:rPr>
        <w:t>3、</w:t>
      </w:r>
      <w:r>
        <w:rPr>
          <w:rFonts w:hint="eastAsia" w:ascii="宋体" w:hAnsi="宋体" w:eastAsia="宋体" w:cs="宋体"/>
          <w:b/>
          <w:sz w:val="22"/>
          <w:szCs w:val="22"/>
          <w:lang w:val="en-US" w:eastAsia="zh-CN"/>
        </w:rPr>
        <w:t>交货时间及地点</w:t>
      </w:r>
    </w:p>
    <w:p w14:paraId="39BA675B">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90" w:lineRule="exact"/>
        <w:ind w:left="0" w:right="0" w:firstLine="440" w:firstLineChars="200"/>
        <w:textAlignment w:val="auto"/>
        <w:rPr>
          <w:rFonts w:hint="eastAsia" w:ascii="宋体" w:hAnsi="宋体" w:eastAsia="宋体" w:cs="Times New Roman"/>
          <w:bCs/>
          <w:kern w:val="2"/>
          <w:sz w:val="22"/>
          <w:szCs w:val="22"/>
          <w:lang w:val="en-US" w:eastAsia="zh-CN" w:bidi="ar-SA"/>
        </w:rPr>
      </w:pPr>
      <w:r>
        <w:rPr>
          <w:rFonts w:hint="eastAsia" w:ascii="宋体" w:hAnsi="宋体" w:eastAsia="宋体" w:cs="Times New Roman"/>
          <w:bCs/>
          <w:kern w:val="2"/>
          <w:sz w:val="22"/>
          <w:szCs w:val="22"/>
          <w:lang w:val="en-US" w:eastAsia="zh-CN" w:bidi="ar-SA"/>
        </w:rPr>
        <w:t>3.1交货时间：合同签订后</w:t>
      </w:r>
      <w:r>
        <w:rPr>
          <w:rFonts w:hint="eastAsia" w:ascii="宋体" w:hAnsi="宋体" w:cs="Times New Roman"/>
          <w:bCs/>
          <w:kern w:val="2"/>
          <w:sz w:val="22"/>
          <w:szCs w:val="22"/>
          <w:lang w:val="en-US" w:eastAsia="zh-CN" w:bidi="ar-SA"/>
        </w:rPr>
        <w:t>且现场满足设备进场条件后，经采购人书面通知</w:t>
      </w:r>
      <w:r>
        <w:rPr>
          <w:rFonts w:hint="eastAsia" w:ascii="宋体" w:hAnsi="宋体" w:eastAsia="宋体" w:cs="Times New Roman"/>
          <w:bCs/>
          <w:kern w:val="2"/>
          <w:sz w:val="22"/>
          <w:szCs w:val="22"/>
          <w:lang w:val="en-US" w:eastAsia="zh-CN" w:bidi="ar-SA"/>
        </w:rPr>
        <w:t>30日历天内交货并完成安装；</w:t>
      </w:r>
    </w:p>
    <w:p w14:paraId="60B0FE33">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90" w:lineRule="exact"/>
        <w:ind w:left="0" w:right="0" w:firstLine="440" w:firstLineChars="200"/>
        <w:textAlignment w:val="auto"/>
        <w:rPr>
          <w:rFonts w:hint="eastAsia" w:ascii="宋体" w:hAnsi="Calibri" w:eastAsia="宋体" w:cs="黑体"/>
          <w:b/>
          <w:bCs w:val="0"/>
          <w:color w:val="auto"/>
          <w:sz w:val="22"/>
          <w:szCs w:val="24"/>
          <w:highlight w:val="none"/>
          <w:lang w:val="en-US" w:eastAsia="zh-CN"/>
        </w:rPr>
      </w:pPr>
      <w:r>
        <w:rPr>
          <w:rFonts w:hint="eastAsia" w:ascii="宋体" w:hAnsi="宋体" w:eastAsia="宋体" w:cs="Times New Roman"/>
          <w:bCs/>
          <w:kern w:val="2"/>
          <w:sz w:val="22"/>
          <w:szCs w:val="22"/>
          <w:lang w:val="en-US" w:eastAsia="zh-CN" w:bidi="ar-SA"/>
        </w:rPr>
        <w:t>3.2交货地点：按采购人指定地点。</w:t>
      </w:r>
    </w:p>
    <w:bookmarkEnd w:id="182"/>
    <w:p w14:paraId="43AF22EB">
      <w:pPr>
        <w:widowControl/>
        <w:autoSpaceDE w:val="0"/>
        <w:autoSpaceDN w:val="0"/>
        <w:adjustRightInd w:val="0"/>
        <w:spacing w:line="400" w:lineRule="exact"/>
        <w:textAlignment w:val="bottom"/>
        <w:rPr>
          <w:rFonts w:hint="eastAsia" w:ascii="宋体" w:hAnsi="Calibri" w:eastAsia="宋体" w:cs="黑体"/>
          <w:b/>
          <w:bCs w:val="0"/>
          <w:color w:val="auto"/>
          <w:sz w:val="22"/>
          <w:szCs w:val="24"/>
          <w:highlight w:val="none"/>
        </w:rPr>
      </w:pPr>
      <w:bookmarkStart w:id="183" w:name="_Toc18079_WPSOffice_Level3"/>
      <w:r>
        <w:rPr>
          <w:rFonts w:hint="eastAsia" w:ascii="宋体" w:cs="黑体"/>
          <w:b/>
          <w:bCs w:val="0"/>
          <w:color w:val="auto"/>
          <w:sz w:val="22"/>
          <w:szCs w:val="24"/>
          <w:highlight w:val="none"/>
          <w:lang w:val="en-US" w:eastAsia="zh-CN"/>
        </w:rPr>
        <w:t>4</w:t>
      </w:r>
      <w:r>
        <w:rPr>
          <w:rFonts w:hint="eastAsia" w:ascii="宋体" w:hAnsi="Calibri" w:eastAsia="宋体" w:cs="黑体"/>
          <w:b/>
          <w:bCs w:val="0"/>
          <w:color w:val="auto"/>
          <w:sz w:val="22"/>
          <w:szCs w:val="24"/>
          <w:highlight w:val="none"/>
        </w:rPr>
        <w:t>、安装调试</w:t>
      </w:r>
      <w:bookmarkEnd w:id="183"/>
    </w:p>
    <w:p w14:paraId="29DD173F">
      <w:pPr>
        <w:widowControl/>
        <w:autoSpaceDE w:val="0"/>
        <w:autoSpaceDN w:val="0"/>
        <w:adjustRightInd w:val="0"/>
        <w:spacing w:line="400" w:lineRule="exact"/>
        <w:ind w:firstLine="440" w:firstLineChars="200"/>
        <w:textAlignment w:val="bottom"/>
        <w:rPr>
          <w:rFonts w:hint="eastAsia" w:ascii="宋体" w:hAnsi="Calibri" w:eastAsia="宋体" w:cs="黑体"/>
          <w:bCs/>
          <w:color w:val="auto"/>
          <w:sz w:val="22"/>
          <w:szCs w:val="24"/>
          <w:highlight w:val="none"/>
        </w:rPr>
      </w:pPr>
      <w:r>
        <w:rPr>
          <w:rFonts w:ascii="宋体" w:hAnsi="Calibri" w:eastAsia="宋体" w:cs="黑体"/>
          <w:bCs/>
          <w:color w:val="auto"/>
          <w:sz w:val="22"/>
          <w:szCs w:val="24"/>
          <w:highlight w:val="none"/>
        </w:rPr>
        <w:t>免费送货到用户现场，在用户要求的时间内完成安装调试；免费安装、调试；</w:t>
      </w:r>
    </w:p>
    <w:p w14:paraId="71E2D7A3">
      <w:pPr>
        <w:widowControl/>
        <w:autoSpaceDE w:val="0"/>
        <w:autoSpaceDN w:val="0"/>
        <w:adjustRightInd w:val="0"/>
        <w:spacing w:line="400" w:lineRule="exact"/>
        <w:ind w:firstLine="440" w:firstLineChars="200"/>
        <w:textAlignment w:val="bottom"/>
        <w:rPr>
          <w:rFonts w:hint="eastAsia" w:ascii="宋体" w:hAnsi="Calibri" w:eastAsia="宋体" w:cs="黑体"/>
          <w:bCs/>
          <w:color w:val="auto"/>
          <w:sz w:val="22"/>
          <w:szCs w:val="24"/>
          <w:highlight w:val="none"/>
        </w:rPr>
      </w:pPr>
      <w:r>
        <w:rPr>
          <w:rFonts w:hint="eastAsia" w:ascii="宋体" w:cs="黑体"/>
          <w:bCs/>
          <w:color w:val="auto"/>
          <w:sz w:val="22"/>
          <w:szCs w:val="24"/>
          <w:highlight w:val="none"/>
          <w:lang w:val="en-US" w:eastAsia="zh-CN"/>
        </w:rPr>
        <w:t>4</w:t>
      </w:r>
      <w:r>
        <w:rPr>
          <w:rFonts w:hint="eastAsia" w:ascii="宋体" w:hAnsi="Calibri" w:eastAsia="宋体" w:cs="黑体"/>
          <w:bCs/>
          <w:color w:val="auto"/>
          <w:sz w:val="22"/>
          <w:szCs w:val="24"/>
          <w:highlight w:val="none"/>
        </w:rPr>
        <w:t>.1 安装地点：按采购单位要求。</w:t>
      </w:r>
    </w:p>
    <w:p w14:paraId="6D369770">
      <w:pPr>
        <w:widowControl/>
        <w:autoSpaceDE w:val="0"/>
        <w:autoSpaceDN w:val="0"/>
        <w:adjustRightInd w:val="0"/>
        <w:spacing w:line="400" w:lineRule="exact"/>
        <w:ind w:firstLine="440" w:firstLineChars="200"/>
        <w:textAlignment w:val="bottom"/>
        <w:rPr>
          <w:rFonts w:hint="eastAsia" w:ascii="宋体" w:hAnsi="Calibri" w:eastAsia="宋体" w:cs="黑体"/>
          <w:bCs/>
          <w:color w:val="auto"/>
          <w:sz w:val="22"/>
          <w:szCs w:val="24"/>
          <w:highlight w:val="none"/>
        </w:rPr>
      </w:pPr>
      <w:r>
        <w:rPr>
          <w:rFonts w:hint="eastAsia" w:ascii="宋体" w:cs="黑体"/>
          <w:bCs/>
          <w:color w:val="auto"/>
          <w:sz w:val="22"/>
          <w:szCs w:val="24"/>
          <w:highlight w:val="none"/>
          <w:lang w:val="en-US" w:eastAsia="zh-CN"/>
        </w:rPr>
        <w:t>4</w:t>
      </w:r>
      <w:r>
        <w:rPr>
          <w:rFonts w:hint="eastAsia" w:ascii="宋体" w:hAnsi="Calibri" w:eastAsia="宋体" w:cs="黑体"/>
          <w:bCs/>
          <w:color w:val="auto"/>
          <w:sz w:val="22"/>
          <w:szCs w:val="24"/>
          <w:highlight w:val="none"/>
        </w:rPr>
        <w:t>.2 安装标准：符合我国国家有关技术规范要求和技术标准。</w:t>
      </w:r>
    </w:p>
    <w:p w14:paraId="2A375AEB">
      <w:pPr>
        <w:widowControl/>
        <w:autoSpaceDE w:val="0"/>
        <w:autoSpaceDN w:val="0"/>
        <w:adjustRightInd w:val="0"/>
        <w:spacing w:line="400" w:lineRule="exact"/>
        <w:ind w:firstLine="440" w:firstLineChars="200"/>
        <w:textAlignment w:val="bottom"/>
        <w:rPr>
          <w:rFonts w:hint="eastAsia" w:ascii="宋体" w:hAnsi="Calibri" w:eastAsia="宋体" w:cs="黑体"/>
          <w:bCs/>
          <w:color w:val="auto"/>
          <w:sz w:val="22"/>
          <w:szCs w:val="24"/>
          <w:highlight w:val="none"/>
        </w:rPr>
      </w:pPr>
      <w:r>
        <w:rPr>
          <w:rFonts w:hint="eastAsia" w:ascii="宋体" w:cs="黑体"/>
          <w:bCs/>
          <w:color w:val="auto"/>
          <w:sz w:val="22"/>
          <w:szCs w:val="24"/>
          <w:highlight w:val="none"/>
          <w:lang w:val="en-US" w:eastAsia="zh-CN"/>
        </w:rPr>
        <w:t>4</w:t>
      </w:r>
      <w:r>
        <w:rPr>
          <w:rFonts w:hint="eastAsia" w:ascii="宋体" w:hAnsi="Calibri" w:eastAsia="宋体" w:cs="黑体"/>
          <w:bCs/>
          <w:color w:val="auto"/>
          <w:sz w:val="22"/>
          <w:szCs w:val="24"/>
          <w:highlight w:val="none"/>
        </w:rPr>
        <w:t>.3 安装过程中发生的费用由中标供应商负责。</w:t>
      </w:r>
    </w:p>
    <w:p w14:paraId="2D334EDA">
      <w:pPr>
        <w:widowControl/>
        <w:autoSpaceDE w:val="0"/>
        <w:autoSpaceDN w:val="0"/>
        <w:adjustRightInd w:val="0"/>
        <w:spacing w:line="400" w:lineRule="exact"/>
        <w:ind w:firstLine="440" w:firstLineChars="200"/>
        <w:textAlignment w:val="bottom"/>
        <w:rPr>
          <w:rFonts w:hint="eastAsia" w:ascii="宋体" w:hAnsi="Calibri" w:eastAsia="宋体" w:cs="黑体"/>
          <w:bCs/>
          <w:color w:val="auto"/>
          <w:sz w:val="22"/>
          <w:szCs w:val="24"/>
          <w:highlight w:val="none"/>
        </w:rPr>
      </w:pPr>
      <w:r>
        <w:rPr>
          <w:rFonts w:hint="eastAsia" w:ascii="宋体" w:cs="黑体"/>
          <w:bCs/>
          <w:color w:val="auto"/>
          <w:sz w:val="22"/>
          <w:szCs w:val="24"/>
          <w:highlight w:val="none"/>
          <w:lang w:val="en-US" w:eastAsia="zh-CN"/>
        </w:rPr>
        <w:t>4</w:t>
      </w:r>
      <w:r>
        <w:rPr>
          <w:rFonts w:hint="eastAsia" w:ascii="宋体" w:hAnsi="Calibri" w:eastAsia="宋体" w:cs="黑体"/>
          <w:bCs/>
          <w:color w:val="auto"/>
          <w:sz w:val="22"/>
          <w:szCs w:val="24"/>
          <w:highlight w:val="none"/>
        </w:rPr>
        <w:t>.4 中标供应商</w:t>
      </w:r>
      <w:r>
        <w:rPr>
          <w:rFonts w:ascii="宋体" w:hAnsi="Calibri" w:eastAsia="宋体" w:cs="黑体"/>
          <w:bCs/>
          <w:color w:val="auto"/>
          <w:sz w:val="22"/>
          <w:szCs w:val="24"/>
          <w:highlight w:val="none"/>
        </w:rPr>
        <w:t>应协助采购单位对设备进行检查，交付所有证书、工具和主、副钥匙</w:t>
      </w:r>
      <w:r>
        <w:rPr>
          <w:rFonts w:hint="eastAsia" w:ascii="宋体" w:cs="黑体"/>
          <w:bCs/>
          <w:color w:val="auto"/>
          <w:sz w:val="22"/>
          <w:szCs w:val="24"/>
          <w:highlight w:val="none"/>
          <w:lang w:val="en-US" w:eastAsia="zh-CN"/>
        </w:rPr>
        <w:t>等</w:t>
      </w:r>
      <w:r>
        <w:rPr>
          <w:rFonts w:ascii="宋体" w:hAnsi="Calibri" w:eastAsia="宋体" w:cs="黑体"/>
          <w:bCs/>
          <w:color w:val="auto"/>
          <w:sz w:val="22"/>
          <w:szCs w:val="24"/>
          <w:highlight w:val="none"/>
        </w:rPr>
        <w:t>；</w:t>
      </w:r>
      <w:r>
        <w:rPr>
          <w:rFonts w:hint="eastAsia" w:ascii="宋体" w:hAnsi="Calibri" w:eastAsia="宋体" w:cs="黑体"/>
          <w:bCs/>
          <w:color w:val="auto"/>
          <w:sz w:val="22"/>
          <w:szCs w:val="24"/>
          <w:highlight w:val="none"/>
        </w:rPr>
        <w:t>投标供应商应在投标文件中提出其安装调试过程中使用单位需配合的内容。</w:t>
      </w:r>
      <w:bookmarkStart w:id="184" w:name="_Toc26182_WPSOffice_Level3"/>
    </w:p>
    <w:bookmarkEnd w:id="184"/>
    <w:p w14:paraId="6797EF13">
      <w:pPr>
        <w:widowControl/>
        <w:autoSpaceDE w:val="0"/>
        <w:autoSpaceDN w:val="0"/>
        <w:adjustRightInd w:val="0"/>
        <w:spacing w:line="400" w:lineRule="exact"/>
        <w:textAlignment w:val="bottom"/>
        <w:rPr>
          <w:rFonts w:hint="eastAsia" w:ascii="宋体" w:hAnsi="Calibri" w:eastAsia="宋体" w:cs="黑体"/>
          <w:bCs/>
          <w:color w:val="auto"/>
          <w:sz w:val="22"/>
          <w:szCs w:val="24"/>
          <w:highlight w:val="none"/>
        </w:rPr>
      </w:pPr>
      <w:r>
        <w:rPr>
          <w:rFonts w:hint="eastAsia" w:ascii="宋体" w:cs="黑体"/>
          <w:b/>
          <w:bCs w:val="0"/>
          <w:color w:val="auto"/>
          <w:sz w:val="22"/>
          <w:szCs w:val="24"/>
          <w:highlight w:val="none"/>
          <w:lang w:val="en-US" w:eastAsia="zh-CN"/>
        </w:rPr>
        <w:t>5</w:t>
      </w:r>
      <w:r>
        <w:rPr>
          <w:rFonts w:hint="eastAsia" w:ascii="宋体" w:hAnsi="Calibri" w:eastAsia="宋体" w:cs="黑体"/>
          <w:b/>
          <w:bCs w:val="0"/>
          <w:color w:val="auto"/>
          <w:sz w:val="22"/>
          <w:szCs w:val="24"/>
          <w:highlight w:val="none"/>
          <w:lang w:val="en-US" w:eastAsia="zh-CN"/>
        </w:rPr>
        <w:t>、</w:t>
      </w:r>
      <w:r>
        <w:rPr>
          <w:rFonts w:hint="eastAsia" w:ascii="宋体" w:hAnsi="Calibri" w:eastAsia="宋体" w:cs="黑体"/>
          <w:b/>
          <w:bCs w:val="0"/>
          <w:color w:val="auto"/>
          <w:sz w:val="22"/>
          <w:szCs w:val="24"/>
          <w:highlight w:val="none"/>
        </w:rPr>
        <w:t>验收</w:t>
      </w:r>
    </w:p>
    <w:p w14:paraId="0A991D67">
      <w:pPr>
        <w:widowControl/>
        <w:autoSpaceDE w:val="0"/>
        <w:autoSpaceDN w:val="0"/>
        <w:adjustRightInd w:val="0"/>
        <w:spacing w:line="400" w:lineRule="exact"/>
        <w:ind w:firstLine="440" w:firstLineChars="200"/>
        <w:textAlignment w:val="bottom"/>
        <w:rPr>
          <w:rFonts w:ascii="宋体" w:hAnsi="Calibri" w:eastAsia="宋体" w:cs="黑体"/>
          <w:bCs/>
          <w:color w:val="auto"/>
          <w:sz w:val="22"/>
          <w:szCs w:val="24"/>
          <w:highlight w:val="none"/>
        </w:rPr>
      </w:pPr>
      <w:r>
        <w:rPr>
          <w:rFonts w:hint="eastAsia" w:ascii="宋体" w:hAnsi="Calibri" w:eastAsia="宋体" w:cs="黑体"/>
          <w:bCs/>
          <w:color w:val="auto"/>
          <w:sz w:val="22"/>
          <w:szCs w:val="24"/>
          <w:highlight w:val="none"/>
        </w:rPr>
        <w:t>中标供应商已按合同规定提供了符合招标文件规定的要求的货物，并经使用单位检验合格，所有的技术资料和清单已向采购人提交并被接受，验收视为合格，验收费用由中标方支付，包含在投标报价中；</w:t>
      </w:r>
      <w:r>
        <w:rPr>
          <w:rFonts w:hint="eastAsia" w:ascii="宋体" w:hAnsi="宋体" w:eastAsia="宋体" w:cs="黑体"/>
          <w:color w:val="auto"/>
          <w:sz w:val="22"/>
          <w:szCs w:val="24"/>
          <w:highlight w:val="none"/>
        </w:rPr>
        <w:t>若中标供应商最终供货产品材质与招标文件要求的材质不符，采购人有权委托质检机构作出检测报告，并据此拒收货物并终止合同。中标供应商所发生的损失由其自负，并以全部的履约保证金赔偿采购人。</w:t>
      </w:r>
      <w:r>
        <w:rPr>
          <w:rFonts w:hint="eastAsia" w:ascii="宋体" w:hAnsi="Calibri" w:eastAsia="宋体" w:cs="黑体"/>
          <w:bCs/>
          <w:color w:val="auto"/>
          <w:sz w:val="22"/>
          <w:szCs w:val="24"/>
          <w:highlight w:val="none"/>
        </w:rPr>
        <w:t>若因中标供应商质量问题等导致验收不合格，中标供应商应及时予以处理，直至验收合格，期间发生的一切费用由中标供应商承担，采购人保留向中标供应商索赔的权利。</w:t>
      </w:r>
    </w:p>
    <w:p w14:paraId="33AD5285">
      <w:pPr>
        <w:widowControl/>
        <w:autoSpaceDE w:val="0"/>
        <w:autoSpaceDN w:val="0"/>
        <w:adjustRightInd w:val="0"/>
        <w:spacing w:line="400" w:lineRule="exact"/>
        <w:ind w:firstLine="221" w:firstLineChars="100"/>
        <w:textAlignment w:val="bottom"/>
        <w:rPr>
          <w:rFonts w:hint="eastAsia" w:ascii="宋体" w:hAnsi="Calibri" w:eastAsia="宋体" w:cs="黑体"/>
          <w:b/>
          <w:bCs/>
          <w:color w:val="auto"/>
          <w:sz w:val="22"/>
          <w:szCs w:val="24"/>
          <w:highlight w:val="none"/>
        </w:rPr>
      </w:pPr>
      <w:bookmarkStart w:id="185" w:name="_Toc26577_WPSOffice_Level2"/>
      <w:bookmarkStart w:id="186" w:name="_Toc157410887"/>
      <w:r>
        <w:rPr>
          <w:rFonts w:hint="eastAsia" w:ascii="宋体" w:hAnsi="Calibri" w:eastAsia="宋体" w:cs="黑体"/>
          <w:b/>
          <w:bCs/>
          <w:color w:val="auto"/>
          <w:sz w:val="22"/>
          <w:szCs w:val="24"/>
          <w:highlight w:val="none"/>
        </w:rPr>
        <w:t>四、工作范围</w:t>
      </w:r>
      <w:bookmarkEnd w:id="185"/>
      <w:bookmarkEnd w:id="186"/>
    </w:p>
    <w:p w14:paraId="085143A2">
      <w:pPr>
        <w:widowControl/>
        <w:autoSpaceDE w:val="0"/>
        <w:autoSpaceDN w:val="0"/>
        <w:adjustRightInd w:val="0"/>
        <w:spacing w:line="400" w:lineRule="exact"/>
        <w:ind w:firstLine="220" w:firstLineChars="100"/>
        <w:textAlignment w:val="bottom"/>
        <w:rPr>
          <w:rFonts w:hint="eastAsia" w:ascii="宋体" w:hAnsi="Calibri" w:eastAsia="宋体" w:cs="黑体"/>
          <w:bCs/>
          <w:color w:val="auto"/>
          <w:sz w:val="22"/>
          <w:szCs w:val="24"/>
          <w:highlight w:val="none"/>
        </w:rPr>
      </w:pPr>
      <w:r>
        <w:rPr>
          <w:rFonts w:hint="eastAsia" w:ascii="宋体" w:hAnsi="Calibri" w:eastAsia="宋体" w:cs="黑体"/>
          <w:bCs/>
          <w:color w:val="auto"/>
          <w:sz w:val="22"/>
          <w:szCs w:val="24"/>
          <w:highlight w:val="none"/>
        </w:rPr>
        <w:t>根据招标文件，各供应商须按国家有关标准及规范完成下列工作：</w:t>
      </w:r>
    </w:p>
    <w:p w14:paraId="37DEA4E3">
      <w:pPr>
        <w:widowControl/>
        <w:autoSpaceDE w:val="0"/>
        <w:autoSpaceDN w:val="0"/>
        <w:adjustRightInd w:val="0"/>
        <w:spacing w:line="400" w:lineRule="exact"/>
        <w:ind w:firstLine="220" w:firstLineChars="100"/>
        <w:textAlignment w:val="bottom"/>
        <w:rPr>
          <w:rFonts w:hint="eastAsia" w:ascii="宋体" w:hAnsi="Calibri" w:eastAsia="宋体" w:cs="黑体"/>
          <w:bCs/>
          <w:color w:val="auto"/>
          <w:sz w:val="22"/>
          <w:szCs w:val="24"/>
          <w:highlight w:val="none"/>
        </w:rPr>
      </w:pPr>
      <w:r>
        <w:rPr>
          <w:rFonts w:hint="eastAsia" w:ascii="宋体" w:hAnsi="Calibri" w:eastAsia="宋体" w:cs="黑体"/>
          <w:bCs/>
          <w:color w:val="auto"/>
          <w:sz w:val="22"/>
          <w:szCs w:val="24"/>
          <w:highlight w:val="none"/>
        </w:rPr>
        <w:t>1、提供完整成套的新货物。</w:t>
      </w:r>
    </w:p>
    <w:p w14:paraId="4E787522">
      <w:pPr>
        <w:widowControl/>
        <w:autoSpaceDE w:val="0"/>
        <w:autoSpaceDN w:val="0"/>
        <w:adjustRightInd w:val="0"/>
        <w:spacing w:line="400" w:lineRule="exact"/>
        <w:ind w:firstLine="220" w:firstLineChars="100"/>
        <w:textAlignment w:val="bottom"/>
        <w:rPr>
          <w:rFonts w:hint="eastAsia" w:ascii="宋体" w:hAnsi="Calibri" w:eastAsia="宋体" w:cs="黑体"/>
          <w:bCs/>
          <w:color w:val="auto"/>
          <w:sz w:val="22"/>
          <w:szCs w:val="24"/>
          <w:highlight w:val="none"/>
        </w:rPr>
      </w:pPr>
      <w:r>
        <w:rPr>
          <w:rFonts w:hint="eastAsia" w:ascii="宋体" w:hAnsi="Calibri" w:eastAsia="宋体" w:cs="黑体"/>
          <w:bCs/>
          <w:color w:val="auto"/>
          <w:sz w:val="22"/>
          <w:szCs w:val="24"/>
          <w:highlight w:val="none"/>
        </w:rPr>
        <w:t>2、产品及相关附件的提供、运输、装卸、就位、安装、调试、检验、通过验收。</w:t>
      </w:r>
    </w:p>
    <w:p w14:paraId="11D4BE32">
      <w:pPr>
        <w:widowControl/>
        <w:autoSpaceDE w:val="0"/>
        <w:autoSpaceDN w:val="0"/>
        <w:adjustRightInd w:val="0"/>
        <w:spacing w:line="400" w:lineRule="exact"/>
        <w:ind w:firstLine="220" w:firstLineChars="100"/>
        <w:textAlignment w:val="bottom"/>
        <w:rPr>
          <w:rFonts w:hint="eastAsia" w:ascii="宋体" w:hAnsi="Calibri" w:eastAsia="宋体" w:cs="黑体"/>
          <w:bCs/>
          <w:color w:val="auto"/>
          <w:sz w:val="22"/>
          <w:szCs w:val="24"/>
          <w:highlight w:val="none"/>
        </w:rPr>
      </w:pPr>
      <w:r>
        <w:rPr>
          <w:rFonts w:hint="eastAsia" w:ascii="宋体" w:hAnsi="Calibri" w:eastAsia="宋体" w:cs="黑体"/>
          <w:bCs/>
          <w:color w:val="auto"/>
          <w:sz w:val="22"/>
          <w:szCs w:val="24"/>
          <w:highlight w:val="none"/>
        </w:rPr>
        <w:t>3、完成各项调试、检验、测试工作，并在采购人的配合下通过的验收；提供各种数据资料，直至通过验收。</w:t>
      </w:r>
    </w:p>
    <w:p w14:paraId="5B83F521">
      <w:pPr>
        <w:widowControl/>
        <w:autoSpaceDE w:val="0"/>
        <w:autoSpaceDN w:val="0"/>
        <w:adjustRightInd w:val="0"/>
        <w:spacing w:line="400" w:lineRule="exact"/>
        <w:ind w:firstLine="220" w:firstLineChars="100"/>
        <w:textAlignment w:val="bottom"/>
        <w:rPr>
          <w:rFonts w:hint="eastAsia" w:ascii="宋体" w:hAnsi="Calibri" w:eastAsia="宋体" w:cs="黑体"/>
          <w:bCs/>
          <w:color w:val="auto"/>
          <w:sz w:val="22"/>
          <w:szCs w:val="24"/>
          <w:highlight w:val="none"/>
        </w:rPr>
      </w:pPr>
      <w:r>
        <w:rPr>
          <w:rFonts w:hint="eastAsia" w:ascii="宋体" w:hAnsi="Calibri" w:eastAsia="宋体" w:cs="黑体"/>
          <w:bCs/>
          <w:color w:val="auto"/>
          <w:sz w:val="22"/>
          <w:szCs w:val="24"/>
          <w:highlight w:val="none"/>
        </w:rPr>
        <w:t>4、对最终使用单位的使用人员及维修人员进行技术培训。</w:t>
      </w:r>
    </w:p>
    <w:p w14:paraId="3EFC0586">
      <w:pPr>
        <w:widowControl/>
        <w:autoSpaceDE w:val="0"/>
        <w:autoSpaceDN w:val="0"/>
        <w:adjustRightInd w:val="0"/>
        <w:spacing w:line="400" w:lineRule="exact"/>
        <w:ind w:firstLine="220" w:firstLineChars="100"/>
        <w:textAlignment w:val="bottom"/>
        <w:rPr>
          <w:rFonts w:hint="eastAsia" w:ascii="宋体" w:hAnsi="Calibri" w:eastAsia="宋体" w:cs="黑体"/>
          <w:bCs/>
          <w:color w:val="auto"/>
          <w:sz w:val="22"/>
          <w:szCs w:val="24"/>
          <w:highlight w:val="none"/>
        </w:rPr>
      </w:pPr>
      <w:r>
        <w:rPr>
          <w:rFonts w:hint="eastAsia" w:ascii="宋体" w:hAnsi="Calibri" w:eastAsia="宋体" w:cs="黑体"/>
          <w:bCs/>
          <w:color w:val="auto"/>
          <w:sz w:val="22"/>
          <w:szCs w:val="24"/>
          <w:highlight w:val="none"/>
        </w:rPr>
        <w:t>5、质保期内的维保及维修及质保期后终身维修。</w:t>
      </w:r>
    </w:p>
    <w:p w14:paraId="7CAC969C">
      <w:pPr>
        <w:widowControl/>
        <w:autoSpaceDE w:val="0"/>
        <w:autoSpaceDN w:val="0"/>
        <w:adjustRightInd w:val="0"/>
        <w:spacing w:line="400" w:lineRule="exact"/>
        <w:ind w:firstLine="220" w:firstLineChars="100"/>
        <w:textAlignment w:val="bottom"/>
        <w:rPr>
          <w:rFonts w:hint="eastAsia" w:ascii="宋体" w:hAnsi="Calibri" w:eastAsia="宋体" w:cs="黑体"/>
          <w:bCs/>
          <w:color w:val="auto"/>
          <w:sz w:val="22"/>
          <w:szCs w:val="24"/>
          <w:highlight w:val="none"/>
        </w:rPr>
      </w:pPr>
      <w:r>
        <w:rPr>
          <w:rFonts w:hint="eastAsia" w:ascii="宋体" w:hAnsi="Calibri" w:eastAsia="宋体" w:cs="黑体"/>
          <w:bCs/>
          <w:color w:val="auto"/>
          <w:sz w:val="22"/>
          <w:szCs w:val="24"/>
          <w:highlight w:val="none"/>
        </w:rPr>
        <w:t>6、售后服务的措施及承诺。</w:t>
      </w:r>
    </w:p>
    <w:p w14:paraId="7E34B5F3">
      <w:pPr>
        <w:widowControl/>
        <w:autoSpaceDE w:val="0"/>
        <w:autoSpaceDN w:val="0"/>
        <w:adjustRightInd w:val="0"/>
        <w:spacing w:line="400" w:lineRule="exact"/>
        <w:ind w:firstLine="220" w:firstLineChars="100"/>
        <w:textAlignment w:val="bottom"/>
        <w:rPr>
          <w:rFonts w:hint="eastAsia" w:ascii="宋体" w:hAnsi="Calibri" w:eastAsia="宋体" w:cs="黑体"/>
          <w:bCs/>
          <w:color w:val="auto"/>
          <w:sz w:val="22"/>
          <w:szCs w:val="24"/>
          <w:highlight w:val="none"/>
        </w:rPr>
      </w:pPr>
      <w:r>
        <w:rPr>
          <w:rFonts w:hint="eastAsia" w:ascii="宋体" w:hAnsi="Calibri" w:eastAsia="宋体" w:cs="黑体"/>
          <w:bCs/>
          <w:color w:val="auto"/>
          <w:sz w:val="22"/>
          <w:szCs w:val="24"/>
          <w:highlight w:val="none"/>
        </w:rPr>
        <w:t>以上工作内容的费用均包含在报价总价中。</w:t>
      </w:r>
    </w:p>
    <w:p w14:paraId="0330F617">
      <w:pPr>
        <w:widowControl/>
        <w:autoSpaceDE w:val="0"/>
        <w:autoSpaceDN w:val="0"/>
        <w:adjustRightInd w:val="0"/>
        <w:spacing w:line="400" w:lineRule="exact"/>
        <w:ind w:firstLine="220" w:firstLineChars="100"/>
        <w:textAlignment w:val="bottom"/>
        <w:rPr>
          <w:rFonts w:hint="eastAsia" w:ascii="宋体" w:hAnsi="Calibri" w:eastAsia="宋体" w:cs="黑体"/>
          <w:bCs/>
          <w:color w:val="auto"/>
          <w:sz w:val="22"/>
          <w:szCs w:val="24"/>
          <w:highlight w:val="none"/>
          <w:lang w:val="zh-CN"/>
        </w:rPr>
      </w:pPr>
      <w:r>
        <w:rPr>
          <w:rFonts w:hint="eastAsia" w:ascii="宋体" w:hAnsi="Calibri" w:eastAsia="宋体" w:cs="黑体"/>
          <w:bCs/>
          <w:color w:val="auto"/>
          <w:sz w:val="22"/>
          <w:szCs w:val="24"/>
          <w:highlight w:val="none"/>
          <w:lang w:val="zh-CN"/>
        </w:rPr>
        <w:br w:type="page"/>
      </w:r>
    </w:p>
    <w:p w14:paraId="2227BBEE">
      <w:pPr>
        <w:rPr>
          <w:rFonts w:hint="eastAsia"/>
          <w:color w:val="auto"/>
          <w:lang w:val="zh-CN"/>
        </w:rPr>
      </w:pPr>
    </w:p>
    <w:p w14:paraId="54A58A19">
      <w:pPr>
        <w:snapToGrid w:val="0"/>
        <w:spacing w:line="460" w:lineRule="atLeast"/>
        <w:jc w:val="center"/>
        <w:outlineLvl w:val="0"/>
        <w:rPr>
          <w:rFonts w:hint="eastAsia" w:ascii="宋体" w:hAnsi="宋体"/>
          <w:color w:val="auto"/>
          <w:sz w:val="44"/>
          <w:szCs w:val="44"/>
          <w:highlight w:val="none"/>
        </w:rPr>
      </w:pPr>
      <w:r>
        <w:rPr>
          <w:rFonts w:hint="eastAsia" w:ascii="宋体" w:hAnsi="宋体"/>
          <w:b/>
          <w:bCs/>
          <w:color w:val="auto"/>
          <w:sz w:val="36"/>
          <w:szCs w:val="36"/>
          <w:highlight w:val="none"/>
          <w:lang w:val="zh-CN"/>
        </w:rPr>
        <w:t>第三部分 供应商须知</w:t>
      </w:r>
    </w:p>
    <w:p w14:paraId="1968819F">
      <w:pPr>
        <w:outlineLvl w:val="1"/>
        <w:rPr>
          <w:rFonts w:hint="eastAsia"/>
          <w:b/>
          <w:bCs/>
          <w:color w:val="auto"/>
          <w:sz w:val="24"/>
          <w:szCs w:val="24"/>
          <w:highlight w:val="none"/>
        </w:rPr>
      </w:pPr>
      <w:bookmarkStart w:id="187" w:name="_Toc7082"/>
      <w:bookmarkEnd w:id="187"/>
      <w:r>
        <w:rPr>
          <w:rFonts w:hint="eastAsia"/>
          <w:b/>
          <w:bCs/>
          <w:color w:val="auto"/>
          <w:sz w:val="24"/>
          <w:szCs w:val="24"/>
          <w:highlight w:val="none"/>
        </w:rPr>
        <w:t>一、说明</w:t>
      </w:r>
    </w:p>
    <w:p w14:paraId="5DE128AF">
      <w:pPr>
        <w:autoSpaceDE w:val="0"/>
        <w:autoSpaceDN w:val="0"/>
        <w:adjustRightInd w:val="0"/>
        <w:spacing w:line="400" w:lineRule="atLeast"/>
        <w:ind w:firstLine="440" w:firstLineChars="200"/>
        <w:textAlignment w:val="bottom"/>
        <w:rPr>
          <w:rFonts w:hint="eastAsia"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val="zh-CN"/>
        </w:rPr>
        <w:t>本次采购工作是按照《</w:t>
      </w:r>
      <w:r>
        <w:rPr>
          <w:rFonts w:hint="eastAsia" w:ascii="宋体" w:hAnsi="宋体" w:cs="宋体"/>
          <w:color w:val="auto"/>
          <w:sz w:val="22"/>
          <w:highlight w:val="none"/>
          <w:lang w:val="zh-CN" w:eastAsia="zh-CN"/>
        </w:rPr>
        <w:t>温州市市属国有</w:t>
      </w:r>
      <w:r>
        <w:rPr>
          <w:rFonts w:hint="eastAsia" w:ascii="宋体" w:hAnsi="宋体" w:cs="宋体"/>
          <w:color w:val="auto"/>
          <w:sz w:val="22"/>
          <w:highlight w:val="none"/>
          <w:lang w:val="zh-CN"/>
        </w:rPr>
        <w:t>企业采购管理办法（试行）》及相关法律规章组织和实施。</w:t>
      </w:r>
    </w:p>
    <w:p w14:paraId="0133FE81">
      <w:pPr>
        <w:autoSpaceDE w:val="0"/>
        <w:autoSpaceDN w:val="0"/>
        <w:adjustRightInd w:val="0"/>
        <w:spacing w:line="400" w:lineRule="atLeast"/>
        <w:ind w:firstLine="440" w:firstLineChars="200"/>
        <w:textAlignment w:val="bottom"/>
        <w:rPr>
          <w:rFonts w:hint="eastAsia" w:ascii="宋体" w:hAnsi="宋体" w:cs="宋体"/>
          <w:color w:val="auto"/>
          <w:sz w:val="22"/>
          <w:highlight w:val="none"/>
        </w:rPr>
      </w:pPr>
      <w:r>
        <w:rPr>
          <w:rFonts w:hint="eastAsia" w:ascii="宋体" w:hAnsi="宋体" w:cs="宋体"/>
          <w:color w:val="auto"/>
          <w:sz w:val="22"/>
          <w:highlight w:val="none"/>
        </w:rPr>
        <w:t>2、供应商</w:t>
      </w:r>
      <w:r>
        <w:rPr>
          <w:rFonts w:hint="eastAsia" w:ascii="宋体" w:hAnsi="宋体" w:cs="宋体"/>
          <w:color w:val="auto"/>
          <w:sz w:val="22"/>
          <w:highlight w:val="none"/>
          <w:lang w:val="en-US" w:eastAsia="zh-CN"/>
        </w:rPr>
        <w:t>可以选择标项投标，但</w:t>
      </w:r>
      <w:r>
        <w:rPr>
          <w:rFonts w:hint="eastAsia" w:ascii="宋体" w:hAnsi="宋体" w:cs="宋体"/>
          <w:color w:val="auto"/>
          <w:sz w:val="22"/>
          <w:highlight w:val="none"/>
        </w:rPr>
        <w:t>必须对所投</w:t>
      </w:r>
      <w:r>
        <w:rPr>
          <w:rFonts w:hint="eastAsia" w:ascii="宋体" w:hAnsi="宋体" w:cs="宋体"/>
          <w:color w:val="auto"/>
          <w:sz w:val="22"/>
          <w:highlight w:val="none"/>
          <w:lang w:val="en-US" w:eastAsia="zh-CN"/>
        </w:rPr>
        <w:t>标项的</w:t>
      </w:r>
      <w:r>
        <w:rPr>
          <w:rFonts w:hint="eastAsia" w:ascii="宋体" w:hAnsi="宋体" w:cs="宋体"/>
          <w:color w:val="auto"/>
          <w:sz w:val="22"/>
          <w:highlight w:val="none"/>
        </w:rPr>
        <w:t>全部内容进行报价，只对部分内容进行报价的供应商将按无效投标处理。</w:t>
      </w:r>
    </w:p>
    <w:p w14:paraId="7236BD7F">
      <w:pPr>
        <w:autoSpaceDE w:val="0"/>
        <w:autoSpaceDN w:val="0"/>
        <w:adjustRightInd w:val="0"/>
        <w:spacing w:line="400" w:lineRule="atLeast"/>
        <w:ind w:firstLine="440" w:firstLineChars="200"/>
        <w:textAlignment w:val="bottom"/>
        <w:rPr>
          <w:rFonts w:hint="eastAsia" w:ascii="宋体" w:hAnsi="宋体" w:cs="宋体"/>
          <w:color w:val="auto"/>
          <w:sz w:val="22"/>
          <w:highlight w:val="none"/>
        </w:rPr>
      </w:pPr>
      <w:r>
        <w:rPr>
          <w:rFonts w:hint="eastAsia" w:ascii="宋体" w:hAnsi="宋体" w:cs="宋体"/>
          <w:color w:val="auto"/>
          <w:sz w:val="22"/>
          <w:highlight w:val="none"/>
        </w:rPr>
        <w:t>3、无论投标过程中的作法和结果如何，供应商自行承担投标活动中所发生的全部费用；采购人有权选择供应商的供货和服务范围。</w:t>
      </w:r>
    </w:p>
    <w:p w14:paraId="496B454E">
      <w:pPr>
        <w:autoSpaceDE w:val="0"/>
        <w:autoSpaceDN w:val="0"/>
        <w:adjustRightInd w:val="0"/>
        <w:spacing w:line="400" w:lineRule="atLeast"/>
        <w:ind w:firstLine="440" w:firstLineChars="200"/>
        <w:textAlignment w:val="bottom"/>
        <w:rPr>
          <w:rFonts w:hint="eastAsia" w:ascii="宋体" w:hAnsi="宋体" w:cs="宋体"/>
          <w:color w:val="auto"/>
          <w:sz w:val="22"/>
          <w:highlight w:val="none"/>
        </w:rPr>
      </w:pPr>
      <w:r>
        <w:rPr>
          <w:rFonts w:hint="eastAsia" w:ascii="宋体" w:hAnsi="宋体" w:cs="宋体"/>
          <w:color w:val="auto"/>
          <w:sz w:val="22"/>
          <w:highlight w:val="none"/>
        </w:rPr>
        <w:t>4、本次采购采用商务报价文件与技术资信文件分别评审，评标委员会首先评审供应商技术资信部分，技术资信部分无效的供应商不进入商务报价评审。要求供应商技术资信部分的投标文件（含资信与服务）中不得含产品报价，否则做无效投标处理。</w:t>
      </w:r>
    </w:p>
    <w:p w14:paraId="0A800C8A">
      <w:pPr>
        <w:autoSpaceDE w:val="0"/>
        <w:autoSpaceDN w:val="0"/>
        <w:adjustRightInd w:val="0"/>
        <w:spacing w:line="400" w:lineRule="atLeast"/>
        <w:ind w:firstLine="440" w:firstLineChars="200"/>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5</w:t>
      </w:r>
      <w:r>
        <w:rPr>
          <w:rFonts w:hint="eastAsia" w:ascii="宋体" w:hAnsi="宋体" w:cs="宋体"/>
          <w:color w:val="auto"/>
          <w:sz w:val="22"/>
          <w:highlight w:val="none"/>
        </w:rPr>
        <w:t>、知识产权</w:t>
      </w:r>
    </w:p>
    <w:p w14:paraId="29D3EE51">
      <w:pPr>
        <w:autoSpaceDE w:val="0"/>
        <w:autoSpaceDN w:val="0"/>
        <w:adjustRightInd w:val="0"/>
        <w:spacing w:line="400" w:lineRule="atLeast"/>
        <w:ind w:firstLine="440" w:firstLineChars="200"/>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5</w:t>
      </w:r>
      <w:r>
        <w:rPr>
          <w:rFonts w:hint="eastAsia" w:ascii="宋体" w:hAnsi="宋体" w:cs="宋体"/>
          <w:color w:val="auto"/>
          <w:sz w:val="22"/>
          <w:highlight w:val="none"/>
        </w:rPr>
        <w:t>.1供应商应保证，采购人在中华人民共和国使用货物和服务的任何一部分时，免受第三方提出侵犯其专利权、商标权或其它知识产权的起诉。</w:t>
      </w:r>
    </w:p>
    <w:p w14:paraId="770AD56E">
      <w:pPr>
        <w:autoSpaceDE w:val="0"/>
        <w:autoSpaceDN w:val="0"/>
        <w:adjustRightInd w:val="0"/>
        <w:spacing w:line="400" w:lineRule="atLeast"/>
        <w:ind w:firstLine="440" w:firstLineChars="200"/>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5</w:t>
      </w:r>
      <w:r>
        <w:rPr>
          <w:rFonts w:hint="eastAsia" w:ascii="宋体" w:hAnsi="宋体" w:cs="宋体"/>
          <w:color w:val="auto"/>
          <w:sz w:val="22"/>
          <w:highlight w:val="none"/>
        </w:rPr>
        <w:t>.2投标人应对采购人在使用该产品时所涉及到的专利权负责，不损害采购人的利益。</w:t>
      </w:r>
    </w:p>
    <w:p w14:paraId="287929CC">
      <w:pPr>
        <w:autoSpaceDE w:val="0"/>
        <w:autoSpaceDN w:val="0"/>
        <w:adjustRightInd w:val="0"/>
        <w:spacing w:line="400" w:lineRule="atLeast"/>
        <w:ind w:firstLine="440" w:firstLineChars="200"/>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5</w:t>
      </w:r>
      <w:r>
        <w:rPr>
          <w:rFonts w:hint="eastAsia" w:ascii="宋体" w:hAnsi="宋体" w:cs="宋体"/>
          <w:color w:val="auto"/>
          <w:sz w:val="22"/>
          <w:highlight w:val="none"/>
        </w:rPr>
        <w:t>.3报价应包括所有应支付的对专利权和版权、设计或其他知识产权而需要向其他方支付的版税。</w:t>
      </w:r>
    </w:p>
    <w:p w14:paraId="0D5125C0">
      <w:pPr>
        <w:autoSpaceDE w:val="0"/>
        <w:autoSpaceDN w:val="0"/>
        <w:adjustRightInd w:val="0"/>
        <w:spacing w:line="400" w:lineRule="atLeast"/>
        <w:ind w:firstLine="440" w:firstLineChars="200"/>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5</w:t>
      </w:r>
      <w:r>
        <w:rPr>
          <w:rFonts w:hint="eastAsia" w:ascii="宋体" w:hAnsi="宋体" w:cs="宋体"/>
          <w:color w:val="auto"/>
          <w:sz w:val="22"/>
          <w:highlight w:val="none"/>
        </w:rPr>
        <w:t>.4投标人提供得货物中如使用其他公司的相关专利，应在标书中出示相关授权，如未出示但使用了其他公司的专利，导致供应商中标而引起相关诉讼，由投标人承担。</w:t>
      </w:r>
    </w:p>
    <w:p w14:paraId="779A711A">
      <w:pPr>
        <w:autoSpaceDE w:val="0"/>
        <w:autoSpaceDN w:val="0"/>
        <w:adjustRightInd w:val="0"/>
        <w:spacing w:line="400" w:lineRule="atLeast"/>
        <w:ind w:firstLine="440" w:firstLineChars="200"/>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6</w:t>
      </w:r>
      <w:r>
        <w:rPr>
          <w:rFonts w:hint="eastAsia" w:ascii="宋体" w:hAnsi="宋体" w:cs="宋体"/>
          <w:color w:val="auto"/>
          <w:sz w:val="22"/>
          <w:highlight w:val="none"/>
        </w:rPr>
        <w:t>、</w:t>
      </w:r>
      <w:r>
        <w:rPr>
          <w:rFonts w:hint="eastAsia" w:ascii="宋体" w:hAnsi="宋体" w:cs="宋体"/>
          <w:color w:val="auto"/>
          <w:sz w:val="22"/>
          <w:highlight w:val="none"/>
          <w:lang w:val="zh-CN"/>
        </w:rPr>
        <w:t>进口产品参与采购，按财政部《</w:t>
      </w:r>
      <w:r>
        <w:rPr>
          <w:rStyle w:val="50"/>
          <w:rFonts w:hint="eastAsia" w:ascii="宋体" w:hAnsi="宋体" w:cs="宋体"/>
          <w:color w:val="auto"/>
          <w:sz w:val="22"/>
          <w:highlight w:val="none"/>
          <w:lang w:val="zh-CN"/>
        </w:rPr>
        <w:fldChar w:fldCharType="begin"/>
      </w:r>
      <w:r>
        <w:instrText xml:space="preserve">HYPERLINK "http://www.chinaacc.com/new/63/64/80/2008/1/wa2420495431112180022419-0.htm"</w:instrText>
      </w:r>
      <w:r>
        <w:rPr>
          <w:rStyle w:val="50"/>
          <w:rFonts w:hint="eastAsia" w:ascii="宋体" w:hAnsi="宋体" w:cs="宋体"/>
          <w:color w:val="auto"/>
          <w:sz w:val="22"/>
          <w:highlight w:val="none"/>
          <w:lang w:val="zh-CN"/>
        </w:rPr>
        <w:fldChar w:fldCharType="separate"/>
      </w:r>
      <w:r>
        <w:rPr>
          <w:rStyle w:val="50"/>
          <w:rFonts w:hint="eastAsia" w:ascii="宋体" w:hAnsi="宋体" w:cs="宋体"/>
          <w:color w:val="auto"/>
          <w:sz w:val="22"/>
          <w:highlight w:val="none"/>
          <w:lang w:val="zh-CN"/>
        </w:rPr>
        <w:t>关于印发〈政府采购进口产品管理办法〉的通知</w:t>
      </w:r>
      <w:r>
        <w:rPr>
          <w:rStyle w:val="50"/>
          <w:rFonts w:hint="eastAsia" w:ascii="宋体" w:hAnsi="宋体" w:cs="宋体"/>
          <w:color w:val="auto"/>
          <w:sz w:val="22"/>
          <w:highlight w:val="none"/>
          <w:lang w:val="zh-CN"/>
        </w:rPr>
        <w:fldChar w:fldCharType="end"/>
      </w:r>
      <w:r>
        <w:rPr>
          <w:rFonts w:hint="eastAsia" w:ascii="宋体" w:hAnsi="宋体" w:cs="宋体"/>
          <w:color w:val="auto"/>
          <w:sz w:val="22"/>
          <w:highlight w:val="none"/>
          <w:lang w:val="zh-CN"/>
        </w:rPr>
        <w:t>》（财库[2007]119号）和财政部办公厅《</w:t>
      </w:r>
      <w:r>
        <w:rPr>
          <w:rStyle w:val="50"/>
          <w:rFonts w:hint="eastAsia" w:ascii="宋体" w:hAnsi="宋体" w:cs="宋体"/>
          <w:color w:val="auto"/>
          <w:sz w:val="22"/>
          <w:highlight w:val="none"/>
          <w:lang w:val="zh-CN"/>
        </w:rPr>
        <w:fldChar w:fldCharType="begin"/>
      </w:r>
      <w:r>
        <w:instrText xml:space="preserve">HYPERLINK "http://www.chinaacc.com/new/63/64/80/2008/10/wa29611252241030180027592-0.htm"</w:instrText>
      </w:r>
      <w:r>
        <w:rPr>
          <w:rStyle w:val="50"/>
          <w:rFonts w:hint="eastAsia" w:ascii="宋体" w:hAnsi="宋体" w:cs="宋体"/>
          <w:color w:val="auto"/>
          <w:sz w:val="22"/>
          <w:highlight w:val="none"/>
          <w:lang w:val="zh-CN"/>
        </w:rPr>
        <w:fldChar w:fldCharType="separate"/>
      </w:r>
      <w:r>
        <w:rPr>
          <w:rStyle w:val="50"/>
          <w:rFonts w:hint="eastAsia" w:ascii="宋体" w:hAnsi="宋体" w:cs="宋体"/>
          <w:color w:val="auto"/>
          <w:sz w:val="22"/>
          <w:highlight w:val="none"/>
          <w:lang w:val="zh-CN"/>
        </w:rPr>
        <w:t>关于政府采购进口产品管理有关问题的通知</w:t>
      </w:r>
      <w:r>
        <w:rPr>
          <w:rStyle w:val="50"/>
          <w:rFonts w:hint="eastAsia" w:ascii="宋体" w:hAnsi="宋体" w:cs="宋体"/>
          <w:color w:val="auto"/>
          <w:sz w:val="22"/>
          <w:highlight w:val="none"/>
          <w:lang w:val="zh-CN"/>
        </w:rPr>
        <w:fldChar w:fldCharType="end"/>
      </w:r>
      <w:r>
        <w:rPr>
          <w:rFonts w:hint="eastAsia" w:ascii="宋体" w:hAnsi="宋体" w:cs="宋体"/>
          <w:color w:val="auto"/>
          <w:sz w:val="22"/>
          <w:highlight w:val="none"/>
          <w:lang w:val="zh-CN"/>
        </w:rPr>
        <w:t>》（财办库〔2008〕248号）、《浙江省财政厅关于进一步加强政府采购进口产品管理的通知》（浙财采监[2010]51号）等相关文件规定处理。</w:t>
      </w:r>
      <w:r>
        <w:rPr>
          <w:rFonts w:hint="eastAsia" w:ascii="宋体" w:hAnsi="宋体" w:cs="宋体"/>
          <w:color w:val="auto"/>
          <w:sz w:val="22"/>
          <w:highlight w:val="none"/>
          <w:u w:val="none"/>
        </w:rPr>
        <w:t>进口设备相关进口手续均由中标供应商负责并办理。</w:t>
      </w:r>
    </w:p>
    <w:p w14:paraId="6B3D7E5D">
      <w:pPr>
        <w:autoSpaceDE w:val="0"/>
        <w:autoSpaceDN w:val="0"/>
        <w:adjustRightInd w:val="0"/>
        <w:spacing w:line="400" w:lineRule="atLeast"/>
        <w:ind w:firstLine="440" w:firstLineChars="200"/>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7</w:t>
      </w:r>
      <w:r>
        <w:rPr>
          <w:rFonts w:hint="eastAsia" w:ascii="宋体" w:hAnsi="宋体" w:cs="宋体"/>
          <w:color w:val="auto"/>
          <w:sz w:val="22"/>
          <w:highlight w:val="none"/>
        </w:rPr>
        <w:t>、安全生产</w:t>
      </w:r>
    </w:p>
    <w:p w14:paraId="2CA8EE51">
      <w:pPr>
        <w:autoSpaceDE w:val="0"/>
        <w:autoSpaceDN w:val="0"/>
        <w:adjustRightInd w:val="0"/>
        <w:spacing w:line="400" w:lineRule="atLeast"/>
        <w:ind w:firstLine="440" w:firstLineChars="200"/>
        <w:textAlignment w:val="bottom"/>
        <w:rPr>
          <w:rFonts w:hint="eastAsia" w:ascii="宋体" w:hAnsi="宋体" w:cs="宋体"/>
          <w:color w:val="auto"/>
          <w:sz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242E312D">
      <w:pPr>
        <w:autoSpaceDE w:val="0"/>
        <w:autoSpaceDN w:val="0"/>
        <w:adjustRightInd w:val="0"/>
        <w:spacing w:line="400" w:lineRule="atLeast"/>
        <w:ind w:firstLine="440" w:firstLineChars="200"/>
        <w:textAlignment w:val="bottom"/>
        <w:rPr>
          <w:rFonts w:hint="eastAsia" w:ascii="宋体" w:hAnsi="宋体" w:cs="宋体"/>
          <w:color w:val="auto"/>
          <w:sz w:val="22"/>
          <w:highlight w:val="none"/>
        </w:rPr>
      </w:pPr>
      <w:r>
        <w:rPr>
          <w:rFonts w:hint="eastAsia" w:ascii="宋体" w:hAnsi="宋体" w:cs="宋体"/>
          <w:color w:val="auto"/>
          <w:sz w:val="22"/>
          <w:highlight w:val="none"/>
          <w:lang w:val="en-US" w:eastAsia="zh-CN"/>
        </w:rPr>
        <w:t>8</w:t>
      </w:r>
      <w:r>
        <w:rPr>
          <w:rFonts w:hint="eastAsia" w:ascii="宋体" w:hAnsi="宋体" w:cs="宋体"/>
          <w:color w:val="auto"/>
          <w:sz w:val="22"/>
          <w:highlight w:val="none"/>
        </w:rPr>
        <w:t>、采用最低评标价法的采购项目，提供相同品牌产品的不同投标人参加同一合同项下投标的，以其中通过资格审查、符合性审查且报价最低的参加评标；报价相同的，采取随机抽取方式确定，其他投标无效。</w:t>
      </w:r>
    </w:p>
    <w:p w14:paraId="67BB9797">
      <w:pPr>
        <w:autoSpaceDE w:val="0"/>
        <w:autoSpaceDN w:val="0"/>
        <w:adjustRightInd w:val="0"/>
        <w:spacing w:line="400" w:lineRule="atLeast"/>
        <w:ind w:firstLine="442" w:firstLineChars="200"/>
        <w:textAlignment w:val="bottom"/>
        <w:rPr>
          <w:rFonts w:hint="eastAsia" w:ascii="宋体" w:hAnsi="宋体" w:cs="宋体"/>
          <w:b/>
          <w:color w:val="auto"/>
          <w:sz w:val="22"/>
          <w:highlight w:val="none"/>
        </w:rPr>
      </w:pPr>
      <w:r>
        <w:rPr>
          <w:rFonts w:hint="eastAsia" w:ascii="宋体" w:hAnsi="宋体" w:cs="宋体"/>
          <w:b/>
          <w:color w:val="auto"/>
          <w:sz w:val="22"/>
          <w:highlight w:val="none"/>
        </w:rPr>
        <w:t>使用综合评分法的采购项目，提供相同品牌产品且通过资格审查、符合性审查的不同投标供应商参加同一合同项下投标的，按一家投标供应商计算，评审后得分最高的同品牌投标供应商获得中标供应商推荐资格；评审得分相同的，采取随机抽取方式确定，其他同品牌投标供应商不作为中标候选人。</w:t>
      </w:r>
    </w:p>
    <w:p w14:paraId="18101237">
      <w:pPr>
        <w:autoSpaceDE w:val="0"/>
        <w:autoSpaceDN w:val="0"/>
        <w:adjustRightInd w:val="0"/>
        <w:spacing w:line="400" w:lineRule="atLeast"/>
        <w:ind w:firstLine="440" w:firstLineChars="200"/>
        <w:textAlignment w:val="bottom"/>
        <w:rPr>
          <w:rFonts w:hint="eastAsia" w:ascii="宋体" w:hAnsi="宋体" w:cs="宋体"/>
          <w:color w:val="auto"/>
          <w:sz w:val="22"/>
          <w:highlight w:val="none"/>
        </w:rPr>
      </w:pPr>
      <w:r>
        <w:rPr>
          <w:rFonts w:hint="eastAsia" w:ascii="宋体" w:hAnsi="宋体" w:cs="宋体"/>
          <w:color w:val="auto"/>
          <w:sz w:val="22"/>
          <w:highlight w:val="none"/>
        </w:rPr>
        <w:t>非单一产品采购项目，采购人应当根据采购项目技术构成、产品价格比重等合理确定核心产品，并在招标文件中载明。多家投标人提供的核心产品品牌相同的，按前两款规定处理。</w:t>
      </w:r>
    </w:p>
    <w:p w14:paraId="48441AD5">
      <w:pPr>
        <w:autoSpaceDE w:val="0"/>
        <w:autoSpaceDN w:val="0"/>
        <w:adjustRightInd w:val="0"/>
        <w:spacing w:line="400" w:lineRule="atLeast"/>
        <w:ind w:firstLine="442" w:firstLineChars="200"/>
        <w:textAlignment w:val="bottom"/>
        <w:rPr>
          <w:rFonts w:hint="eastAsia" w:ascii="宋体" w:hAnsi="宋体" w:cs="宋体"/>
          <w:b/>
          <w:bCs/>
          <w:color w:val="auto"/>
          <w:sz w:val="22"/>
          <w:highlight w:val="none"/>
        </w:rPr>
      </w:pPr>
      <w:r>
        <w:rPr>
          <w:rFonts w:hint="eastAsia" w:ascii="宋体" w:hAnsi="宋体" w:cs="宋体"/>
          <w:b/>
          <w:bCs/>
          <w:color w:val="auto"/>
          <w:sz w:val="22"/>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8A43E48">
      <w:pPr>
        <w:autoSpaceDE w:val="0"/>
        <w:autoSpaceDN w:val="0"/>
        <w:adjustRightInd w:val="0"/>
        <w:spacing w:line="400" w:lineRule="atLeast"/>
        <w:ind w:firstLine="440" w:firstLineChars="200"/>
        <w:textAlignment w:val="bottom"/>
        <w:rPr>
          <w:rFonts w:hint="eastAsia" w:ascii="宋体" w:hAnsi="宋体" w:cs="宋体"/>
          <w:color w:val="auto"/>
          <w:sz w:val="22"/>
          <w:highlight w:val="none"/>
          <w:lang w:val="zh-CN"/>
        </w:rPr>
      </w:pPr>
      <w:r>
        <w:rPr>
          <w:rFonts w:hint="eastAsia" w:ascii="宋体" w:hAnsi="宋体" w:cs="宋体"/>
          <w:color w:val="auto"/>
          <w:sz w:val="22"/>
          <w:highlight w:val="none"/>
          <w:lang w:val="en-US" w:eastAsia="zh-CN"/>
        </w:rPr>
        <w:t>9</w:t>
      </w:r>
      <w:r>
        <w:rPr>
          <w:rFonts w:hint="eastAsia" w:ascii="宋体" w:hAnsi="宋体" w:cs="宋体"/>
          <w:color w:val="auto"/>
          <w:sz w:val="22"/>
          <w:highlight w:val="none"/>
        </w:rPr>
        <w:t>、</w:t>
      </w:r>
      <w:r>
        <w:rPr>
          <w:rFonts w:hint="eastAsia" w:ascii="宋体" w:hAnsi="宋体" w:cs="宋体"/>
          <w:color w:val="auto"/>
          <w:sz w:val="22"/>
          <w:highlight w:val="none"/>
          <w:lang w:val="zh-CN"/>
        </w:rPr>
        <w:t>单位负责人为同一人或者存在直接控股、管理关系的不同供应商，不得参加同一合同项下的采购活动。如在评标过程中发现供应商间存在上述关系，评审小组可以对存在上述关系的供应商做无效投标处理。</w:t>
      </w:r>
    </w:p>
    <w:p w14:paraId="54950F75">
      <w:pPr>
        <w:autoSpaceDE w:val="0"/>
        <w:autoSpaceDN w:val="0"/>
        <w:adjustRightInd w:val="0"/>
        <w:spacing w:line="400" w:lineRule="atLeast"/>
        <w:ind w:firstLine="440" w:firstLineChars="200"/>
        <w:textAlignment w:val="bottom"/>
        <w:rPr>
          <w:rFonts w:hint="eastAsia" w:ascii="宋体" w:hAnsi="宋体" w:cs="宋体"/>
          <w:color w:val="auto"/>
          <w:sz w:val="22"/>
          <w:highlight w:val="none"/>
          <w:lang w:val="zh-CN"/>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0</w:t>
      </w:r>
      <w:r>
        <w:rPr>
          <w:rFonts w:hint="eastAsia" w:ascii="宋体" w:hAnsi="宋体" w:cs="宋体"/>
          <w:color w:val="auto"/>
          <w:sz w:val="22"/>
          <w:highlight w:val="none"/>
        </w:rPr>
        <w:t>、</w:t>
      </w:r>
      <w:r>
        <w:rPr>
          <w:rFonts w:hint="eastAsia" w:ascii="宋体" w:hAnsi="宋体" w:cs="宋体"/>
          <w:color w:val="auto"/>
          <w:sz w:val="22"/>
          <w:highlight w:val="none"/>
          <w:lang w:val="zh-CN"/>
        </w:rPr>
        <w:t>为采购项目提供整体设计、规范编制或者项目管理、监理、检测等服务的供应商，不得再参加该采购项目的其他采购活动。</w:t>
      </w:r>
    </w:p>
    <w:p w14:paraId="2A658532">
      <w:pPr>
        <w:autoSpaceDE w:val="0"/>
        <w:autoSpaceDN w:val="0"/>
        <w:adjustRightInd w:val="0"/>
        <w:spacing w:line="400" w:lineRule="atLeast"/>
        <w:ind w:firstLine="440" w:firstLineChars="200"/>
        <w:textAlignment w:val="bottom"/>
        <w:rPr>
          <w:rFonts w:hint="eastAsia" w:ascii="宋体" w:hAnsi="宋体" w:cs="宋体"/>
          <w:color w:val="auto"/>
          <w:sz w:val="22"/>
          <w:highlight w:val="none"/>
          <w:lang w:val="zh-CN"/>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1</w:t>
      </w:r>
      <w:r>
        <w:rPr>
          <w:rFonts w:hint="eastAsia" w:ascii="宋体" w:hAnsi="宋体" w:cs="宋体"/>
          <w:color w:val="auto"/>
          <w:sz w:val="22"/>
          <w:highlight w:val="none"/>
        </w:rPr>
        <w:t>、采购人提供的图纸仅供各投标供应商参考，图纸参数与招标文件不一致的以招标文件为准。</w:t>
      </w:r>
    </w:p>
    <w:p w14:paraId="05F4516C">
      <w:pPr>
        <w:autoSpaceDE w:val="0"/>
        <w:autoSpaceDN w:val="0"/>
        <w:adjustRightInd w:val="0"/>
        <w:spacing w:line="400" w:lineRule="atLeast"/>
        <w:ind w:firstLine="440" w:firstLineChars="200"/>
        <w:textAlignment w:val="bottom"/>
        <w:rPr>
          <w:rFonts w:hint="eastAsia" w:ascii="宋体" w:hAnsi="宋体" w:cs="宋体"/>
          <w:color w:val="auto"/>
          <w:sz w:val="22"/>
          <w:highlight w:val="none"/>
          <w:lang w:val="zh-CN"/>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2</w:t>
      </w:r>
      <w:r>
        <w:rPr>
          <w:rFonts w:hint="eastAsia" w:ascii="宋体" w:hAnsi="宋体" w:cs="宋体"/>
          <w:color w:val="auto"/>
          <w:sz w:val="22"/>
          <w:highlight w:val="none"/>
          <w:lang w:val="zh-CN"/>
        </w:rPr>
        <w:t>、本项目投标文件签章须采用供应商正式公章，不得以投标专用章或业务章、合同章等代替。</w:t>
      </w:r>
    </w:p>
    <w:p w14:paraId="0D5AC6A6">
      <w:pPr>
        <w:autoSpaceDE w:val="0"/>
        <w:autoSpaceDN w:val="0"/>
        <w:adjustRightInd w:val="0"/>
        <w:spacing w:line="400" w:lineRule="atLeast"/>
        <w:ind w:firstLine="440" w:firstLineChars="200"/>
        <w:textAlignment w:val="bottom"/>
        <w:rPr>
          <w:rFonts w:hint="eastAsia" w:ascii="宋体" w:hAnsi="宋体" w:cs="宋体"/>
          <w:b/>
          <w:color w:val="auto"/>
          <w:sz w:val="22"/>
          <w:highlight w:val="none"/>
          <w:u w:val="single"/>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3</w:t>
      </w:r>
      <w:r>
        <w:rPr>
          <w:rFonts w:hint="eastAsia" w:ascii="宋体" w:hAnsi="宋体" w:cs="宋体"/>
          <w:color w:val="auto"/>
          <w:sz w:val="22"/>
          <w:highlight w:val="none"/>
        </w:rPr>
        <w:t>、</w:t>
      </w:r>
      <w:r>
        <w:rPr>
          <w:rFonts w:hint="eastAsia" w:ascii="宋体" w:hAnsi="宋体" w:cs="宋体"/>
          <w:b/>
          <w:color w:val="auto"/>
          <w:sz w:val="22"/>
          <w:highlight w:val="none"/>
          <w:u w:val="single"/>
        </w:rPr>
        <w:t>▲供应商须具有良好的商业信誉：</w:t>
      </w:r>
    </w:p>
    <w:p w14:paraId="44510B8B">
      <w:pPr>
        <w:autoSpaceDE w:val="0"/>
        <w:autoSpaceDN w:val="0"/>
        <w:adjustRightInd w:val="0"/>
        <w:spacing w:line="400" w:lineRule="atLeast"/>
        <w:ind w:firstLine="442" w:firstLineChars="200"/>
        <w:textAlignment w:val="bottom"/>
        <w:rPr>
          <w:rFonts w:hint="eastAsia" w:ascii="宋体" w:hAnsi="宋体" w:cs="宋体"/>
          <w:b/>
          <w:color w:val="auto"/>
          <w:sz w:val="22"/>
          <w:highlight w:val="none"/>
          <w:u w:val="single"/>
        </w:rPr>
      </w:pPr>
      <w:r>
        <w:rPr>
          <w:rFonts w:hint="eastAsia" w:ascii="宋体" w:hAnsi="宋体" w:cs="宋体"/>
          <w:b/>
          <w:color w:val="auto"/>
          <w:sz w:val="22"/>
          <w:highlight w:val="none"/>
          <w:u w:val="single"/>
        </w:rPr>
        <w:t>1）供应商在全国企业信用信息公示系统网：（</w:t>
      </w:r>
      <w:r>
        <w:rPr>
          <w:rStyle w:val="50"/>
          <w:rFonts w:hint="eastAsia" w:ascii="宋体" w:hAnsi="宋体" w:cs="宋体"/>
          <w:b/>
          <w:color w:val="auto"/>
          <w:sz w:val="22"/>
          <w:highlight w:val="none"/>
          <w:u w:val="single"/>
        </w:rPr>
        <w:fldChar w:fldCharType="begin"/>
      </w:r>
      <w:r>
        <w:instrText xml:space="preserve">HYPERLINK "http://zj.gsxt.gov.cn/"</w:instrText>
      </w:r>
      <w:r>
        <w:rPr>
          <w:rStyle w:val="50"/>
          <w:rFonts w:hint="eastAsia" w:ascii="宋体" w:hAnsi="宋体" w:cs="宋体"/>
          <w:b/>
          <w:color w:val="auto"/>
          <w:sz w:val="22"/>
          <w:highlight w:val="none"/>
          <w:u w:val="single"/>
        </w:rPr>
        <w:fldChar w:fldCharType="separate"/>
      </w:r>
      <w:r>
        <w:rPr>
          <w:rStyle w:val="50"/>
          <w:rFonts w:hint="eastAsia" w:ascii="宋体" w:hAnsi="宋体" w:cs="宋体"/>
          <w:b/>
          <w:color w:val="auto"/>
          <w:sz w:val="22"/>
          <w:highlight w:val="none"/>
          <w:u w:val="single"/>
        </w:rPr>
        <w:t>http://zj.gsxt.gov.cn/</w:t>
      </w:r>
      <w:r>
        <w:rPr>
          <w:rStyle w:val="50"/>
          <w:rFonts w:hint="eastAsia" w:ascii="宋体" w:hAnsi="宋体" w:cs="宋体"/>
          <w:b/>
          <w:color w:val="auto"/>
          <w:sz w:val="22"/>
          <w:highlight w:val="none"/>
          <w:u w:val="single"/>
        </w:rPr>
        <w:fldChar w:fldCharType="end"/>
      </w:r>
      <w:r>
        <w:rPr>
          <w:rFonts w:hint="eastAsia" w:ascii="宋体" w:hAnsi="宋体" w:cs="宋体"/>
          <w:b/>
          <w:color w:val="auto"/>
          <w:sz w:val="22"/>
          <w:highlight w:val="none"/>
          <w:u w:val="single"/>
        </w:rPr>
        <w:t xml:space="preserve">）无严重违法企业记录。    </w:t>
      </w:r>
    </w:p>
    <w:p w14:paraId="42CF600D">
      <w:pPr>
        <w:autoSpaceDE w:val="0"/>
        <w:autoSpaceDN w:val="0"/>
        <w:adjustRightInd w:val="0"/>
        <w:spacing w:line="400" w:lineRule="atLeast"/>
        <w:ind w:firstLine="442" w:firstLineChars="200"/>
        <w:textAlignment w:val="bottom"/>
        <w:rPr>
          <w:rFonts w:hint="eastAsia" w:ascii="宋体" w:hAnsi="宋体" w:cs="宋体"/>
          <w:b/>
          <w:color w:val="auto"/>
          <w:sz w:val="22"/>
          <w:highlight w:val="none"/>
          <w:u w:val="single"/>
        </w:rPr>
      </w:pPr>
      <w:r>
        <w:rPr>
          <w:rFonts w:hint="eastAsia" w:ascii="宋体" w:hAnsi="宋体" w:cs="宋体"/>
          <w:b/>
          <w:color w:val="auto"/>
          <w:sz w:val="22"/>
          <w:highlight w:val="none"/>
          <w:u w:val="single"/>
        </w:rPr>
        <w:t>2）供应商在中国执行信息公开网（</w:t>
      </w:r>
      <w:r>
        <w:rPr>
          <w:rStyle w:val="50"/>
          <w:rFonts w:hint="eastAsia" w:ascii="宋体" w:hAnsi="宋体" w:cs="宋体"/>
          <w:b/>
          <w:color w:val="auto"/>
          <w:sz w:val="22"/>
          <w:highlight w:val="none"/>
          <w:u w:val="single"/>
        </w:rPr>
        <w:fldChar w:fldCharType="begin"/>
      </w:r>
      <w:r>
        <w:instrText xml:space="preserve">HYPERLINK "http://zxgk.court.gov.cn/"</w:instrText>
      </w:r>
      <w:r>
        <w:rPr>
          <w:rStyle w:val="50"/>
          <w:rFonts w:hint="eastAsia" w:ascii="宋体" w:hAnsi="宋体" w:cs="宋体"/>
          <w:b/>
          <w:color w:val="auto"/>
          <w:sz w:val="22"/>
          <w:highlight w:val="none"/>
          <w:u w:val="single"/>
        </w:rPr>
        <w:fldChar w:fldCharType="separate"/>
      </w:r>
      <w:r>
        <w:rPr>
          <w:rStyle w:val="50"/>
          <w:rFonts w:hint="eastAsia" w:ascii="宋体" w:hAnsi="宋体" w:cs="宋体"/>
          <w:b/>
          <w:color w:val="auto"/>
          <w:sz w:val="22"/>
          <w:highlight w:val="none"/>
          <w:u w:val="single"/>
        </w:rPr>
        <w:t>http://zxgk.court.gov.cn/</w:t>
      </w:r>
      <w:r>
        <w:rPr>
          <w:rStyle w:val="50"/>
          <w:rFonts w:hint="eastAsia" w:ascii="宋体" w:hAnsi="宋体" w:cs="宋体"/>
          <w:b/>
          <w:color w:val="auto"/>
          <w:sz w:val="22"/>
          <w:highlight w:val="none"/>
          <w:u w:val="single"/>
        </w:rPr>
        <w:fldChar w:fldCharType="end"/>
      </w:r>
      <w:r>
        <w:rPr>
          <w:rFonts w:hint="eastAsia" w:ascii="宋体" w:hAnsi="宋体" w:cs="宋体"/>
          <w:b/>
          <w:color w:val="auto"/>
          <w:sz w:val="22"/>
          <w:highlight w:val="none"/>
          <w:u w:val="single"/>
        </w:rPr>
        <w:t xml:space="preserve">）无失信信息记录。   </w:t>
      </w:r>
    </w:p>
    <w:p w14:paraId="4C0628C3">
      <w:pPr>
        <w:autoSpaceDE w:val="0"/>
        <w:autoSpaceDN w:val="0"/>
        <w:adjustRightInd w:val="0"/>
        <w:spacing w:line="400" w:lineRule="atLeast"/>
        <w:ind w:firstLine="442" w:firstLineChars="200"/>
        <w:textAlignment w:val="bottom"/>
        <w:rPr>
          <w:rFonts w:hint="eastAsia" w:ascii="宋体" w:hAnsi="宋体" w:cs="宋体"/>
          <w:b/>
          <w:color w:val="auto"/>
          <w:sz w:val="22"/>
          <w:highlight w:val="none"/>
          <w:u w:val="single"/>
        </w:rPr>
      </w:pPr>
      <w:r>
        <w:rPr>
          <w:rFonts w:hint="eastAsia" w:ascii="宋体" w:hAnsi="宋体" w:cs="宋体"/>
          <w:b/>
          <w:color w:val="auto"/>
          <w:sz w:val="22"/>
          <w:highlight w:val="none"/>
          <w:u w:val="single"/>
        </w:rPr>
        <w:t xml:space="preserve">3）供应商在中国政府采购网（http://www.ccgp.gov.cn/cr/list）无严重违法行为记录。   </w:t>
      </w:r>
    </w:p>
    <w:p w14:paraId="2B0FDE16">
      <w:pPr>
        <w:widowControl/>
        <w:snapToGrid w:val="0"/>
        <w:spacing w:line="400" w:lineRule="atLeast"/>
        <w:ind w:firstLine="442" w:firstLineChars="200"/>
        <w:jc w:val="left"/>
        <w:rPr>
          <w:rFonts w:hint="eastAsia" w:ascii="宋体" w:hAnsi="宋体" w:cs="宋体"/>
          <w:b/>
          <w:color w:val="auto"/>
          <w:sz w:val="22"/>
          <w:highlight w:val="none"/>
          <w:u w:val="single"/>
        </w:rPr>
      </w:pPr>
      <w:r>
        <w:rPr>
          <w:rFonts w:hint="eastAsia" w:ascii="宋体" w:hAnsi="宋体" w:cs="宋体"/>
          <w:b/>
          <w:color w:val="auto"/>
          <w:sz w:val="22"/>
          <w:highlight w:val="none"/>
          <w:u w:val="single"/>
        </w:rPr>
        <w:t xml:space="preserve">4）未被各级财政部门列入政府采购黑名单或被各级国资部门禁止参加国有企业采购项目投标。    </w:t>
      </w:r>
    </w:p>
    <w:p w14:paraId="468AAAE7">
      <w:pPr>
        <w:widowControl/>
        <w:snapToGrid w:val="0"/>
        <w:spacing w:line="400" w:lineRule="atLeast"/>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u w:val="single"/>
        </w:rPr>
        <w:t>▲</w:t>
      </w:r>
      <w:r>
        <w:rPr>
          <w:rFonts w:hint="eastAsia" w:ascii="宋体" w:hAnsi="宋体" w:cs="宋体"/>
          <w:b/>
          <w:color w:val="auto"/>
          <w:sz w:val="22"/>
          <w:highlight w:val="none"/>
          <w:u w:val="single"/>
        </w:rPr>
        <w:t>如供应商有上述情形并参与本项目投标的，一经查实，其投标做无效投标处理。</w:t>
      </w:r>
    </w:p>
    <w:p w14:paraId="46C20782">
      <w:pPr>
        <w:widowControl/>
        <w:snapToGrid w:val="0"/>
        <w:spacing w:line="400" w:lineRule="atLeast"/>
        <w:ind w:firstLine="440" w:firstLineChars="200"/>
        <w:rPr>
          <w:rFonts w:hint="eastAsia" w:ascii="宋体" w:hAnsi="宋体" w:cs="宋体"/>
          <w:b/>
          <w:bCs/>
          <w:color w:val="auto"/>
          <w:sz w:val="22"/>
          <w:highlight w:val="none"/>
          <w:u w:val="single"/>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4</w:t>
      </w:r>
      <w:r>
        <w:rPr>
          <w:rFonts w:hint="eastAsia" w:ascii="宋体" w:hAnsi="宋体" w:cs="宋体"/>
          <w:color w:val="auto"/>
          <w:sz w:val="22"/>
          <w:highlight w:val="none"/>
        </w:rPr>
        <w:t>、</w:t>
      </w:r>
      <w:r>
        <w:rPr>
          <w:rFonts w:hint="eastAsia" w:ascii="宋体" w:hAnsi="宋体" w:cs="宋体"/>
          <w:color w:val="auto"/>
          <w:sz w:val="22"/>
          <w:highlight w:val="none"/>
          <w:u w:val="single"/>
        </w:rPr>
        <w:t>▲</w:t>
      </w:r>
      <w:r>
        <w:rPr>
          <w:rFonts w:hint="eastAsia" w:ascii="宋体" w:hAnsi="宋体" w:cs="宋体"/>
          <w:b/>
          <w:bCs/>
          <w:color w:val="auto"/>
          <w:sz w:val="22"/>
          <w:highlight w:val="none"/>
          <w:u w:val="single"/>
        </w:rPr>
        <w:t>本项目采用资格后审，符合资格要求的供应商均可在本公告附件下载招标文件，并按招标文件规定的时间、地点递交投标文件（招标文件下载网址 ：泰顺县人民政府 县公共资源交易中心网站（http://www.ts.gov.cn/col/col1383420/index.html）,招标文件如有补充更正均见泰顺县人民政府 县公共资源交易中心网站（http://www.ts.gov.cn/col/col1383420/index.html））。供应商须在投标截止前自行查看是否有补充、更正文件，并按补充、更正文件要求投标，否则责任自负。</w:t>
      </w:r>
    </w:p>
    <w:p w14:paraId="3D3D062C">
      <w:pPr>
        <w:outlineLvl w:val="1"/>
        <w:rPr>
          <w:rFonts w:hint="eastAsia"/>
          <w:b/>
          <w:bCs/>
          <w:color w:val="auto"/>
          <w:sz w:val="24"/>
          <w:szCs w:val="24"/>
          <w:highlight w:val="none"/>
        </w:rPr>
      </w:pPr>
      <w:r>
        <w:rPr>
          <w:rFonts w:hint="eastAsia"/>
          <w:b/>
          <w:bCs/>
          <w:color w:val="auto"/>
          <w:sz w:val="24"/>
          <w:szCs w:val="24"/>
          <w:highlight w:val="none"/>
        </w:rPr>
        <w:t>二、招标文件</w:t>
      </w:r>
    </w:p>
    <w:p w14:paraId="2FB5299B">
      <w:pPr>
        <w:spacing w:line="400" w:lineRule="atLeast"/>
        <w:rPr>
          <w:rFonts w:hint="eastAsia" w:ascii="宋体" w:hAnsi="宋体" w:cs="宋体"/>
          <w:color w:val="auto"/>
          <w:sz w:val="22"/>
          <w:highlight w:val="none"/>
        </w:rPr>
      </w:pPr>
      <w:r>
        <w:rPr>
          <w:rFonts w:hint="eastAsia" w:ascii="宋体" w:hAnsi="宋体" w:cs="??_GB2312"/>
          <w:color w:val="auto"/>
          <w:sz w:val="22"/>
          <w:highlight w:val="none"/>
        </w:rPr>
        <w:t>1、招标文件</w:t>
      </w:r>
    </w:p>
    <w:p w14:paraId="352C4178">
      <w:pPr>
        <w:autoSpaceDE w:val="0"/>
        <w:autoSpaceDN w:val="0"/>
        <w:adjustRightInd w:val="0"/>
        <w:spacing w:line="400" w:lineRule="atLeast"/>
        <w:ind w:firstLine="420"/>
        <w:rPr>
          <w:rFonts w:hint="eastAsia" w:ascii="宋体" w:hAnsi="宋体" w:cs="??_GB2312"/>
          <w:color w:val="auto"/>
          <w:sz w:val="22"/>
          <w:highlight w:val="none"/>
        </w:rPr>
      </w:pPr>
      <w:r>
        <w:rPr>
          <w:rFonts w:hint="eastAsia" w:ascii="宋体" w:hAnsi="宋体" w:cs="??_GB2312"/>
          <w:color w:val="auto"/>
          <w:sz w:val="22"/>
          <w:highlight w:val="none"/>
        </w:rPr>
        <w:t>1.1招标文件的发放</w:t>
      </w:r>
    </w:p>
    <w:p w14:paraId="0395A1BC">
      <w:pPr>
        <w:autoSpaceDE w:val="0"/>
        <w:autoSpaceDN w:val="0"/>
        <w:adjustRightInd w:val="0"/>
        <w:spacing w:line="400" w:lineRule="atLeast"/>
        <w:ind w:firstLine="440" w:firstLineChars="200"/>
        <w:rPr>
          <w:rFonts w:hint="eastAsia" w:ascii="宋体" w:hAnsi="宋体" w:cs="??_GB2312"/>
          <w:color w:val="auto"/>
          <w:sz w:val="22"/>
          <w:highlight w:val="none"/>
        </w:rPr>
      </w:pPr>
      <w:r>
        <w:rPr>
          <w:rFonts w:hint="eastAsia" w:ascii="宋体" w:hAnsi="宋体" w:cs="??_GB2312"/>
          <w:color w:val="auto"/>
          <w:sz w:val="22"/>
          <w:highlight w:val="none"/>
        </w:rPr>
        <w:t>本项目投标供应商直接网上下载招标文件。</w:t>
      </w:r>
    </w:p>
    <w:p w14:paraId="6BA09910">
      <w:pPr>
        <w:autoSpaceDE w:val="0"/>
        <w:autoSpaceDN w:val="0"/>
        <w:adjustRightInd w:val="0"/>
        <w:spacing w:line="400" w:lineRule="atLeast"/>
        <w:ind w:firstLine="431" w:firstLineChars="196"/>
        <w:textAlignment w:val="bottom"/>
        <w:rPr>
          <w:rFonts w:hint="eastAsia" w:ascii="宋体" w:hAnsi="宋体" w:cs="宋体"/>
          <w:color w:val="auto"/>
          <w:sz w:val="22"/>
          <w:highlight w:val="none"/>
        </w:rPr>
      </w:pPr>
      <w:r>
        <w:rPr>
          <w:rFonts w:hint="eastAsia" w:ascii="宋体" w:hAnsi="宋体" w:cs="??_GB2312"/>
          <w:color w:val="auto"/>
          <w:sz w:val="22"/>
          <w:highlight w:val="none"/>
        </w:rPr>
        <w:t>1.2</w:t>
      </w:r>
      <w:r>
        <w:rPr>
          <w:rFonts w:hint="eastAsia" w:ascii="宋体" w:hAnsi="宋体"/>
          <w:color w:val="auto"/>
          <w:sz w:val="22"/>
          <w:highlight w:val="none"/>
        </w:rPr>
        <w:t>招标文件约束力</w:t>
      </w:r>
    </w:p>
    <w:p w14:paraId="4276F1F6">
      <w:pPr>
        <w:autoSpaceDE w:val="0"/>
        <w:autoSpaceDN w:val="0"/>
        <w:adjustRightInd w:val="0"/>
        <w:spacing w:line="400" w:lineRule="atLeast"/>
        <w:ind w:firstLine="440" w:firstLineChars="200"/>
        <w:rPr>
          <w:rFonts w:hint="eastAsia" w:ascii="宋体" w:hAnsi="宋体" w:cs="??_GB2312"/>
          <w:color w:val="auto"/>
          <w:sz w:val="22"/>
          <w:highlight w:val="none"/>
        </w:rPr>
      </w:pPr>
      <w:r>
        <w:rPr>
          <w:rFonts w:hint="eastAsia" w:ascii="宋体" w:hAnsi="宋体" w:cs="??_GB2312"/>
          <w:color w:val="auto"/>
          <w:sz w:val="22"/>
          <w:highlight w:val="none"/>
        </w:rPr>
        <w:t>供应商</w:t>
      </w:r>
      <w:r>
        <w:rPr>
          <w:rFonts w:hint="eastAsia" w:ascii="宋体" w:hAnsi="宋体"/>
          <w:color w:val="auto"/>
          <w:sz w:val="22"/>
          <w:highlight w:val="none"/>
        </w:rPr>
        <w:t>一旦网上获取了本招标文件并参加投标，即被认为接受了本招标文件中所有条款和规定。</w:t>
      </w:r>
    </w:p>
    <w:p w14:paraId="6E5F39B3">
      <w:pPr>
        <w:autoSpaceDE w:val="0"/>
        <w:autoSpaceDN w:val="0"/>
        <w:adjustRightInd w:val="0"/>
        <w:spacing w:line="400" w:lineRule="atLeast"/>
        <w:ind w:firstLine="440" w:firstLineChars="200"/>
        <w:rPr>
          <w:rFonts w:hint="eastAsia" w:ascii="宋体" w:hAnsi="宋体" w:cs="??_GB2312"/>
          <w:color w:val="auto"/>
          <w:sz w:val="22"/>
          <w:highlight w:val="none"/>
        </w:rPr>
      </w:pPr>
      <w:r>
        <w:rPr>
          <w:rFonts w:hint="eastAsia" w:ascii="宋体" w:hAnsi="宋体" w:cs="??_GB2312"/>
          <w:color w:val="auto"/>
          <w:sz w:val="22"/>
          <w:highlight w:val="none"/>
        </w:rPr>
        <w:t>2、招标文件的澄清</w:t>
      </w:r>
    </w:p>
    <w:p w14:paraId="066F4748">
      <w:pPr>
        <w:autoSpaceDE w:val="0"/>
        <w:autoSpaceDN w:val="0"/>
        <w:adjustRightInd w:val="0"/>
        <w:spacing w:line="400" w:lineRule="atLeast"/>
        <w:ind w:firstLine="440" w:firstLineChars="200"/>
        <w:rPr>
          <w:rFonts w:hint="eastAsia" w:ascii="宋体" w:hAnsi="宋体" w:cs="??_GB2312"/>
          <w:color w:val="auto"/>
          <w:sz w:val="22"/>
          <w:highlight w:val="none"/>
          <w:lang w:val="zh-CN"/>
        </w:rPr>
      </w:pPr>
      <w:r>
        <w:rPr>
          <w:rFonts w:hint="eastAsia" w:ascii="宋体" w:hAnsi="宋体" w:cs="??_GB2312"/>
          <w:color w:val="auto"/>
          <w:sz w:val="22"/>
          <w:highlight w:val="none"/>
          <w:lang w:val="zh-CN"/>
        </w:rPr>
        <w:t>供应商对招标文件如有疑点要求澄清，或认为有必要与采购人进行技术交流，可用书面形式（包括信函、传真，下同）通知采购机构，但通知应在招标文件规定的质疑期前使采购人或其代理机构收到，</w:t>
      </w:r>
      <w:r>
        <w:rPr>
          <w:rFonts w:hint="eastAsia" w:ascii="宋体" w:hAnsi="宋体" w:cs="??_GB2312"/>
          <w:color w:val="auto"/>
          <w:sz w:val="22"/>
          <w:highlight w:val="none"/>
        </w:rPr>
        <w:t>招标文件的</w:t>
      </w:r>
      <w:r>
        <w:rPr>
          <w:rFonts w:hint="eastAsia" w:ascii="宋体" w:hAnsi="宋体" w:cs="??_GB2312"/>
          <w:color w:val="auto"/>
          <w:sz w:val="22"/>
          <w:highlight w:val="none"/>
          <w:lang w:val="zh-CN"/>
        </w:rPr>
        <w:t>澄清在原公告发布媒体上发布澄清公告。逾期的质疑不予接受。</w:t>
      </w:r>
    </w:p>
    <w:p w14:paraId="1367B544">
      <w:pPr>
        <w:autoSpaceDE w:val="0"/>
        <w:autoSpaceDN w:val="0"/>
        <w:adjustRightInd w:val="0"/>
        <w:spacing w:line="400" w:lineRule="atLeast"/>
        <w:ind w:firstLine="440" w:firstLineChars="200"/>
        <w:rPr>
          <w:rFonts w:hint="eastAsia" w:ascii="宋体" w:hAnsi="宋体" w:cs="??_GB2312"/>
          <w:color w:val="auto"/>
          <w:sz w:val="22"/>
          <w:highlight w:val="none"/>
        </w:rPr>
      </w:pPr>
      <w:r>
        <w:rPr>
          <w:rFonts w:hint="eastAsia" w:ascii="宋体" w:hAnsi="宋体" w:cs="??_GB2312"/>
          <w:color w:val="auto"/>
          <w:sz w:val="22"/>
          <w:highlight w:val="none"/>
        </w:rPr>
        <w:t>3、招标文件的修改</w:t>
      </w:r>
    </w:p>
    <w:p w14:paraId="00605F18">
      <w:pPr>
        <w:autoSpaceDE w:val="0"/>
        <w:autoSpaceDN w:val="0"/>
        <w:adjustRightInd w:val="0"/>
        <w:spacing w:line="400" w:lineRule="atLeast"/>
        <w:ind w:firstLine="440" w:firstLineChars="200"/>
        <w:rPr>
          <w:rFonts w:hint="eastAsia" w:ascii="宋体" w:hAnsi="宋体" w:cs="??_GB2312"/>
          <w:color w:val="auto"/>
          <w:sz w:val="22"/>
          <w:highlight w:val="none"/>
        </w:rPr>
      </w:pPr>
      <w:r>
        <w:rPr>
          <w:rFonts w:hint="eastAsia" w:ascii="宋体" w:hAnsi="宋体" w:cs="??_GB2312"/>
          <w:color w:val="auto"/>
          <w:sz w:val="22"/>
          <w:highlight w:val="none"/>
        </w:rPr>
        <w:t>3.1在投标截止时间前，采购单位或采购机构有权修改招标文件，并以书面形式通知供应商。补充文件作为招标文件的补充和组成部分，对所有供应商均有约束力。</w:t>
      </w:r>
    </w:p>
    <w:p w14:paraId="195359AD">
      <w:pPr>
        <w:autoSpaceDE w:val="0"/>
        <w:autoSpaceDN w:val="0"/>
        <w:adjustRightInd w:val="0"/>
        <w:spacing w:line="400" w:lineRule="atLeast"/>
        <w:ind w:firstLine="440" w:firstLineChars="200"/>
        <w:rPr>
          <w:rFonts w:hint="eastAsia" w:ascii="宋体" w:hAnsi="宋体" w:cs="??_GB2312"/>
          <w:b/>
          <w:bCs/>
          <w:color w:val="auto"/>
          <w:sz w:val="22"/>
          <w:highlight w:val="none"/>
        </w:rPr>
      </w:pPr>
      <w:r>
        <w:rPr>
          <w:rFonts w:hint="eastAsia" w:ascii="宋体" w:hAnsi="宋体" w:cs="??_GB2312"/>
          <w:color w:val="auto"/>
          <w:sz w:val="22"/>
          <w:highlight w:val="none"/>
        </w:rPr>
        <w:t>3.2为使供应商有足够的时间按招标文件要求修正投标文件，采购单位按相关规定推迟投标截止时间和开标时间，并将此变更通知放至相关网站公示。</w:t>
      </w:r>
    </w:p>
    <w:p w14:paraId="2BF1B149">
      <w:pPr>
        <w:outlineLvl w:val="1"/>
        <w:rPr>
          <w:rFonts w:hint="eastAsia"/>
          <w:b/>
          <w:bCs/>
          <w:color w:val="auto"/>
          <w:sz w:val="24"/>
          <w:szCs w:val="24"/>
          <w:highlight w:val="none"/>
        </w:rPr>
      </w:pPr>
      <w:r>
        <w:rPr>
          <w:rFonts w:hint="eastAsia"/>
          <w:b/>
          <w:bCs/>
          <w:color w:val="auto"/>
          <w:sz w:val="24"/>
          <w:szCs w:val="24"/>
          <w:highlight w:val="none"/>
        </w:rPr>
        <w:t>三、投标文件</w:t>
      </w:r>
    </w:p>
    <w:p w14:paraId="40130C0E">
      <w:pPr>
        <w:autoSpaceDE w:val="0"/>
        <w:autoSpaceDN w:val="0"/>
        <w:adjustRightInd w:val="0"/>
        <w:spacing w:line="400" w:lineRule="atLeast"/>
        <w:ind w:firstLine="440" w:firstLineChars="200"/>
        <w:rPr>
          <w:rFonts w:hint="eastAsia" w:ascii="宋体" w:hAnsi="宋体" w:cs="??_GB2312"/>
          <w:color w:val="auto"/>
          <w:sz w:val="22"/>
          <w:highlight w:val="none"/>
        </w:rPr>
      </w:pPr>
      <w:r>
        <w:rPr>
          <w:rFonts w:hint="eastAsia" w:ascii="宋体" w:hAnsi="宋体" w:cs="??_GB2312"/>
          <w:color w:val="auto"/>
          <w:sz w:val="22"/>
          <w:highlight w:val="none"/>
        </w:rPr>
        <w:t>1、投标文件</w:t>
      </w:r>
    </w:p>
    <w:p w14:paraId="6DB41129">
      <w:pPr>
        <w:autoSpaceDE w:val="0"/>
        <w:autoSpaceDN w:val="0"/>
        <w:adjustRightInd w:val="0"/>
        <w:spacing w:line="400" w:lineRule="atLeast"/>
        <w:ind w:firstLine="440" w:firstLineChars="200"/>
        <w:textAlignment w:val="bottom"/>
        <w:rPr>
          <w:rFonts w:hint="eastAsia" w:ascii="宋体" w:hAnsi="宋体" w:cs="??_GB2312"/>
          <w:color w:val="auto"/>
          <w:sz w:val="22"/>
          <w:highlight w:val="none"/>
        </w:rPr>
      </w:pPr>
      <w:r>
        <w:rPr>
          <w:rFonts w:hint="eastAsia" w:ascii="宋体" w:hAnsi="宋体" w:cs="??_GB2312"/>
          <w:color w:val="auto"/>
          <w:sz w:val="22"/>
          <w:highlight w:val="none"/>
        </w:rPr>
        <w:t>1.1 供应商提交的投标文件以及供应商与采购单位就有关投标的所有来往函电均应使用中文。供应商可以提交用其它语言印制的资料，但必须译成中文，在有差异和矛盾时以中文为准。</w:t>
      </w:r>
    </w:p>
    <w:p w14:paraId="052E7F60">
      <w:pPr>
        <w:autoSpaceDE w:val="0"/>
        <w:autoSpaceDN w:val="0"/>
        <w:adjustRightInd w:val="0"/>
        <w:spacing w:line="400" w:lineRule="atLeast"/>
        <w:ind w:firstLine="440" w:firstLineChars="200"/>
        <w:textAlignment w:val="bottom"/>
        <w:rPr>
          <w:rFonts w:hint="eastAsia" w:ascii="宋体" w:hAnsi="宋体" w:cs="??_GB2312"/>
          <w:color w:val="auto"/>
          <w:sz w:val="22"/>
          <w:highlight w:val="none"/>
        </w:rPr>
      </w:pPr>
      <w:r>
        <w:rPr>
          <w:rFonts w:hint="eastAsia" w:ascii="宋体" w:hAnsi="宋体" w:cs="??_GB2312"/>
          <w:color w:val="auto"/>
          <w:sz w:val="22"/>
          <w:highlight w:val="none"/>
        </w:rPr>
        <w:t>1.2 供应商提交的投标文件报价均采用人民币报价。</w:t>
      </w:r>
    </w:p>
    <w:p w14:paraId="4628EE18">
      <w:pPr>
        <w:autoSpaceDE w:val="0"/>
        <w:autoSpaceDN w:val="0"/>
        <w:adjustRightInd w:val="0"/>
        <w:spacing w:line="400" w:lineRule="atLeast"/>
        <w:ind w:firstLine="440" w:firstLineChars="200"/>
        <w:textAlignment w:val="bottom"/>
        <w:rPr>
          <w:rFonts w:hint="eastAsia" w:ascii="宋体" w:hAnsi="宋体" w:cs="Arial"/>
          <w:color w:val="auto"/>
          <w:sz w:val="22"/>
          <w:highlight w:val="none"/>
        </w:rPr>
      </w:pPr>
      <w:r>
        <w:rPr>
          <w:rFonts w:hint="eastAsia" w:ascii="宋体" w:hAnsi="宋体" w:cs="??_GB2312"/>
          <w:color w:val="auto"/>
          <w:sz w:val="22"/>
          <w:highlight w:val="none"/>
        </w:rPr>
        <w:t>1.3</w:t>
      </w:r>
      <w:r>
        <w:rPr>
          <w:rFonts w:hint="eastAsia" w:ascii="宋体" w:hAnsi="宋体" w:cs="Arial"/>
          <w:color w:val="auto"/>
          <w:sz w:val="22"/>
          <w:highlight w:val="none"/>
        </w:rPr>
        <w:t>供应商应仔细阅读招标文件中的所有内容，按照招标文件要求，详细编制投标文件。并对招标文件的要求做出实质上响应。实质上响应的报价应该是与招标文件要求没有重大偏离的投标文件。未实质上响应的投标文件将被拒绝，但允许供应商在基本满足采购要求的前提下出现的微小差异。</w:t>
      </w:r>
    </w:p>
    <w:p w14:paraId="243046CB">
      <w:pPr>
        <w:autoSpaceDE w:val="0"/>
        <w:autoSpaceDN w:val="0"/>
        <w:adjustRightInd w:val="0"/>
        <w:spacing w:line="400" w:lineRule="atLeast"/>
        <w:ind w:firstLine="440" w:firstLineChars="200"/>
        <w:textAlignment w:val="bottom"/>
        <w:rPr>
          <w:rFonts w:hint="eastAsia" w:ascii="宋体" w:hAnsi="宋体" w:cs="Arial"/>
          <w:color w:val="auto"/>
          <w:sz w:val="22"/>
          <w:highlight w:val="none"/>
        </w:rPr>
      </w:pPr>
      <w:r>
        <w:rPr>
          <w:rFonts w:hint="eastAsia" w:ascii="宋体" w:hAnsi="宋体" w:cs="??_GB2312"/>
          <w:color w:val="auto"/>
          <w:sz w:val="22"/>
          <w:highlight w:val="none"/>
        </w:rPr>
        <w:t>1.4</w:t>
      </w:r>
      <w:r>
        <w:rPr>
          <w:rFonts w:hint="eastAsia" w:ascii="宋体" w:hAnsi="宋体" w:cs="Arial"/>
          <w:color w:val="auto"/>
          <w:sz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20F8B972">
      <w:pPr>
        <w:autoSpaceDE w:val="0"/>
        <w:autoSpaceDN w:val="0"/>
        <w:adjustRightInd w:val="0"/>
        <w:spacing w:line="400" w:lineRule="atLeast"/>
        <w:ind w:firstLine="440" w:firstLineChars="200"/>
        <w:textAlignment w:val="bottom"/>
        <w:rPr>
          <w:rFonts w:hint="eastAsia" w:ascii="宋体" w:hAnsi="宋体" w:cs="Arial"/>
          <w:color w:val="auto"/>
          <w:sz w:val="22"/>
          <w:highlight w:val="none"/>
        </w:rPr>
      </w:pPr>
      <w:r>
        <w:rPr>
          <w:rFonts w:hint="eastAsia" w:ascii="宋体" w:hAnsi="宋体" w:cs="Arial"/>
          <w:color w:val="auto"/>
          <w:sz w:val="22"/>
          <w:highlight w:val="none"/>
        </w:rPr>
        <w:t>1.5供应商应仔细阅读招标文件中的所有内容，按照招标文件要求，详细编制投标文件，所有文件资料必须是针对本次投标。不按招标文件的要求提供的投标文件可能导致被拒绝。</w:t>
      </w:r>
    </w:p>
    <w:p w14:paraId="05AB91AF">
      <w:pPr>
        <w:autoSpaceDE w:val="0"/>
        <w:autoSpaceDN w:val="0"/>
        <w:adjustRightInd w:val="0"/>
        <w:spacing w:line="400" w:lineRule="atLeast"/>
        <w:ind w:firstLine="440" w:firstLineChars="200"/>
        <w:rPr>
          <w:rFonts w:hint="eastAsia" w:ascii="宋体" w:hAnsi="宋体" w:cs="??_GB2312"/>
          <w:b/>
          <w:bCs/>
          <w:color w:val="auto"/>
          <w:sz w:val="22"/>
          <w:highlight w:val="none"/>
        </w:rPr>
      </w:pPr>
      <w:r>
        <w:rPr>
          <w:rFonts w:hint="eastAsia" w:ascii="宋体" w:hAnsi="宋体" w:cs="??_GB2312"/>
          <w:color w:val="auto"/>
          <w:sz w:val="22"/>
          <w:highlight w:val="none"/>
        </w:rPr>
        <w:t>2、投标文件的组成</w:t>
      </w:r>
    </w:p>
    <w:p w14:paraId="340747EA">
      <w:pPr>
        <w:tabs>
          <w:tab w:val="left" w:pos="1069"/>
          <w:tab w:val="left" w:pos="2352"/>
        </w:tabs>
        <w:autoSpaceDE w:val="0"/>
        <w:autoSpaceDN w:val="0"/>
        <w:adjustRightInd w:val="0"/>
        <w:snapToGrid w:val="0"/>
        <w:spacing w:line="400" w:lineRule="atLeast"/>
        <w:ind w:firstLine="442" w:firstLineChars="200"/>
        <w:rPr>
          <w:rFonts w:ascii="宋体" w:hAnsi="宋体"/>
          <w:b/>
          <w:bCs/>
          <w:color w:val="auto"/>
          <w:sz w:val="22"/>
          <w:highlight w:val="none"/>
          <w:u w:val="single"/>
          <w:lang w:val="zh-CN"/>
        </w:rPr>
      </w:pPr>
      <w:r>
        <w:rPr>
          <w:rFonts w:hint="eastAsia" w:ascii="宋体" w:hAnsi="宋体"/>
          <w:b/>
          <w:bCs/>
          <w:color w:val="auto"/>
          <w:sz w:val="22"/>
          <w:highlight w:val="none"/>
          <w:u w:val="single"/>
        </w:rPr>
        <w:t>▲</w:t>
      </w:r>
      <w:r>
        <w:rPr>
          <w:rFonts w:hint="eastAsia" w:ascii="宋体" w:hAnsi="宋体" w:cs="宋体"/>
          <w:b/>
          <w:bCs/>
          <w:color w:val="auto"/>
          <w:sz w:val="22"/>
          <w:highlight w:val="none"/>
          <w:u w:val="single"/>
        </w:rPr>
        <w:t>投标文件由《报价文件》《资格文件》《商务技术文件》三部分组成</w:t>
      </w:r>
      <w:r>
        <w:rPr>
          <w:rFonts w:hint="eastAsia" w:ascii="宋体" w:hAnsi="宋体"/>
          <w:b/>
          <w:bCs/>
          <w:color w:val="auto"/>
          <w:sz w:val="22"/>
          <w:highlight w:val="none"/>
          <w:u w:val="single"/>
        </w:rPr>
        <w:t>，须分别装订成册，分别密封。</w:t>
      </w:r>
      <w:r>
        <w:rPr>
          <w:rFonts w:hint="eastAsia" w:ascii="宋体" w:hAnsi="宋体"/>
          <w:b/>
          <w:bCs/>
          <w:color w:val="auto"/>
          <w:sz w:val="22"/>
          <w:highlight w:val="none"/>
          <w:u w:val="single"/>
          <w:lang w:val="en-US" w:eastAsia="zh-CN"/>
        </w:rPr>
        <w:t>商务技术文件和资格文件</w:t>
      </w:r>
      <w:r>
        <w:rPr>
          <w:rFonts w:hint="eastAsia" w:ascii="宋体" w:hAnsi="宋体"/>
          <w:b/>
          <w:bCs/>
          <w:color w:val="auto"/>
          <w:sz w:val="22"/>
          <w:highlight w:val="none"/>
          <w:u w:val="single"/>
        </w:rPr>
        <w:t>不得含报价，否则投标将被拒绝。</w:t>
      </w:r>
    </w:p>
    <w:p w14:paraId="7F522648">
      <w:pPr>
        <w:autoSpaceDE w:val="0"/>
        <w:autoSpaceDN w:val="0"/>
        <w:adjustRightInd w:val="0"/>
        <w:snapToGrid w:val="0"/>
        <w:spacing w:line="400" w:lineRule="atLeast"/>
        <w:ind w:firstLine="440" w:firstLineChars="200"/>
        <w:rPr>
          <w:rFonts w:hint="default" w:ascii="宋体" w:hAnsi="宋体" w:eastAsia="宋体"/>
          <w:b/>
          <w:bCs/>
          <w:color w:val="auto"/>
          <w:sz w:val="22"/>
          <w:highlight w:val="none"/>
          <w:lang w:val="en-US" w:eastAsia="zh-CN"/>
        </w:rPr>
      </w:pPr>
      <w:bookmarkStart w:id="188" w:name="_Hlk519085152"/>
      <w:r>
        <w:rPr>
          <w:rFonts w:ascii="宋体" w:hAnsi="宋体"/>
          <w:color w:val="auto"/>
          <w:sz w:val="22"/>
          <w:highlight w:val="none"/>
          <w:lang w:val="zh-CN"/>
        </w:rPr>
        <w:t>2.1</w:t>
      </w:r>
      <w:r>
        <w:rPr>
          <w:rFonts w:hint="eastAsia" w:ascii="宋体" w:hAnsi="宋体"/>
          <w:color w:val="auto"/>
          <w:sz w:val="22"/>
          <w:highlight w:val="none"/>
          <w:lang w:val="zh-CN"/>
        </w:rPr>
        <w:t>报价</w:t>
      </w:r>
      <w:r>
        <w:rPr>
          <w:rFonts w:hint="eastAsia" w:ascii="宋体" w:hAnsi="宋体"/>
          <w:color w:val="auto"/>
          <w:sz w:val="22"/>
          <w:highlight w:val="none"/>
          <w:lang w:val="en-US" w:eastAsia="zh-CN"/>
        </w:rPr>
        <w:t>文件组成</w:t>
      </w:r>
    </w:p>
    <w:tbl>
      <w:tblPr>
        <w:tblStyle w:val="38"/>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8760"/>
      </w:tblGrid>
      <w:tr w14:paraId="5BCD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14:paraId="5F3A4292">
            <w:pPr>
              <w:autoSpaceDE w:val="0"/>
              <w:autoSpaceDN w:val="0"/>
              <w:adjustRightInd w:val="0"/>
              <w:snapToGrid w:val="0"/>
              <w:spacing w:line="400" w:lineRule="atLeast"/>
              <w:rPr>
                <w:rFonts w:hint="eastAsia" w:ascii="宋体" w:hAnsi="宋体" w:eastAsia="宋体"/>
                <w:color w:val="auto"/>
                <w:szCs w:val="21"/>
                <w:highlight w:val="none"/>
                <w:lang w:val="zh-CN"/>
              </w:rPr>
            </w:pPr>
            <w:r>
              <w:rPr>
                <w:rFonts w:hint="eastAsia" w:ascii="宋体" w:hAnsi="宋体" w:eastAsia="宋体"/>
                <w:color w:val="auto"/>
                <w:szCs w:val="21"/>
                <w:highlight w:val="none"/>
                <w:lang w:val="zh-CN"/>
              </w:rPr>
              <w:t>序号</w:t>
            </w:r>
          </w:p>
        </w:tc>
        <w:tc>
          <w:tcPr>
            <w:tcW w:w="8760" w:type="dxa"/>
          </w:tcPr>
          <w:p w14:paraId="3155FDF6">
            <w:pPr>
              <w:autoSpaceDE w:val="0"/>
              <w:autoSpaceDN w:val="0"/>
              <w:adjustRightInd w:val="0"/>
              <w:snapToGrid w:val="0"/>
              <w:spacing w:line="400" w:lineRule="atLeast"/>
              <w:rPr>
                <w:rFonts w:hint="eastAsia" w:ascii="宋体" w:hAnsi="宋体" w:eastAsia="宋体"/>
                <w:color w:val="auto"/>
                <w:szCs w:val="21"/>
                <w:highlight w:val="none"/>
                <w:lang w:val="zh-CN"/>
              </w:rPr>
            </w:pPr>
            <w:r>
              <w:rPr>
                <w:rFonts w:hint="eastAsia" w:ascii="宋体" w:hAnsi="宋体" w:eastAsia="宋体"/>
                <w:color w:val="auto"/>
                <w:highlight w:val="none"/>
              </w:rPr>
              <w:t>内容（</w:t>
            </w:r>
            <w:r>
              <w:rPr>
                <w:rFonts w:hint="eastAsia" w:ascii="宋体" w:hAnsi="宋体" w:eastAsia="宋体"/>
                <w:b/>
                <w:bCs/>
                <w:color w:val="auto"/>
                <w:highlight w:val="none"/>
                <w:u w:val="single"/>
              </w:rPr>
              <w:t>▲序号1-2项供应商必须提供，否则不能通过符合性审查的，责任自负</w:t>
            </w:r>
            <w:r>
              <w:rPr>
                <w:rFonts w:hint="eastAsia" w:ascii="宋体" w:hAnsi="宋体" w:eastAsia="宋体"/>
                <w:color w:val="auto"/>
                <w:highlight w:val="none"/>
              </w:rPr>
              <w:t>）</w:t>
            </w:r>
          </w:p>
        </w:tc>
      </w:tr>
      <w:tr w14:paraId="6365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right w:val="single" w:color="auto" w:sz="4" w:space="0"/>
            </w:tcBorders>
          </w:tcPr>
          <w:p w14:paraId="26AAEECD">
            <w:pPr>
              <w:autoSpaceDE w:val="0"/>
              <w:autoSpaceDN w:val="0"/>
              <w:adjustRightInd w:val="0"/>
              <w:snapToGrid w:val="0"/>
              <w:spacing w:line="400" w:lineRule="atLeast"/>
              <w:rPr>
                <w:rFonts w:hint="eastAsia" w:ascii="宋体" w:hAnsi="宋体" w:eastAsia="宋体"/>
                <w:color w:val="auto"/>
                <w:sz w:val="22"/>
                <w:highlight w:val="none"/>
              </w:rPr>
            </w:pPr>
            <w:r>
              <w:rPr>
                <w:rFonts w:hint="eastAsia" w:ascii="宋体" w:hAnsi="宋体" w:eastAsia="宋体"/>
                <w:color w:val="auto"/>
                <w:sz w:val="22"/>
                <w:highlight w:val="none"/>
              </w:rPr>
              <w:t>1.</w:t>
            </w:r>
          </w:p>
        </w:tc>
        <w:tc>
          <w:tcPr>
            <w:tcW w:w="8760" w:type="dxa"/>
            <w:tcBorders>
              <w:top w:val="single" w:color="auto" w:sz="4" w:space="0"/>
              <w:left w:val="single" w:color="auto" w:sz="4" w:space="0"/>
              <w:right w:val="single" w:color="auto" w:sz="4" w:space="0"/>
            </w:tcBorders>
          </w:tcPr>
          <w:p w14:paraId="2197ECF6">
            <w:pPr>
              <w:autoSpaceDE w:val="0"/>
              <w:autoSpaceDN w:val="0"/>
              <w:adjustRightInd w:val="0"/>
              <w:spacing w:line="400" w:lineRule="atLeast"/>
              <w:textAlignment w:val="bottom"/>
              <w:rPr>
                <w:rFonts w:hint="eastAsia" w:ascii="宋体" w:hAnsi="宋体" w:eastAsia="宋体" w:cs="Times New Roman"/>
                <w:color w:val="auto"/>
                <w:sz w:val="22"/>
                <w:highlight w:val="none"/>
              </w:rPr>
            </w:pPr>
            <w:r>
              <w:rPr>
                <w:rFonts w:hint="eastAsia" w:ascii="宋体" w:hAnsi="宋体" w:eastAsia="宋体" w:cs="Times New Roman"/>
                <w:color w:val="auto"/>
                <w:sz w:val="22"/>
                <w:highlight w:val="none"/>
              </w:rPr>
              <w:t>报价一览表（见附件一）</w:t>
            </w:r>
          </w:p>
        </w:tc>
      </w:tr>
      <w:tr w14:paraId="34F8A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right w:val="single" w:color="auto" w:sz="4" w:space="0"/>
            </w:tcBorders>
          </w:tcPr>
          <w:p w14:paraId="5F496A21">
            <w:pPr>
              <w:autoSpaceDE w:val="0"/>
              <w:autoSpaceDN w:val="0"/>
              <w:adjustRightInd w:val="0"/>
              <w:snapToGrid w:val="0"/>
              <w:spacing w:line="400" w:lineRule="atLeast"/>
              <w:rPr>
                <w:rFonts w:ascii="宋体" w:hAnsi="宋体" w:eastAsia="宋体"/>
                <w:color w:val="auto"/>
                <w:sz w:val="22"/>
                <w:highlight w:val="none"/>
              </w:rPr>
            </w:pPr>
            <w:r>
              <w:rPr>
                <w:rFonts w:hint="eastAsia" w:ascii="宋体" w:hAnsi="宋体" w:eastAsia="宋体"/>
                <w:color w:val="auto"/>
                <w:sz w:val="22"/>
                <w:highlight w:val="none"/>
              </w:rPr>
              <w:t>2.</w:t>
            </w:r>
          </w:p>
        </w:tc>
        <w:tc>
          <w:tcPr>
            <w:tcW w:w="8760" w:type="dxa"/>
            <w:tcBorders>
              <w:top w:val="single" w:color="auto" w:sz="4" w:space="0"/>
              <w:left w:val="single" w:color="auto" w:sz="4" w:space="0"/>
              <w:right w:val="single" w:color="auto" w:sz="4" w:space="0"/>
            </w:tcBorders>
          </w:tcPr>
          <w:p w14:paraId="6D22B158">
            <w:pPr>
              <w:autoSpaceDE w:val="0"/>
              <w:autoSpaceDN w:val="0"/>
              <w:adjustRightInd w:val="0"/>
              <w:spacing w:line="400" w:lineRule="atLeast"/>
              <w:textAlignment w:val="bottom"/>
              <w:rPr>
                <w:rFonts w:hint="eastAsia" w:ascii="宋体" w:hAnsi="宋体" w:eastAsia="宋体" w:cs="Times New Roman"/>
                <w:color w:val="auto"/>
                <w:sz w:val="22"/>
                <w:highlight w:val="none"/>
              </w:rPr>
            </w:pPr>
            <w:r>
              <w:rPr>
                <w:rFonts w:hint="eastAsia" w:ascii="宋体" w:hAnsi="宋体" w:eastAsia="宋体" w:cs="Times New Roman"/>
                <w:color w:val="auto"/>
                <w:sz w:val="22"/>
                <w:highlight w:val="none"/>
              </w:rPr>
              <w:t>投标分项报价表（见附件二）</w:t>
            </w:r>
          </w:p>
        </w:tc>
      </w:tr>
      <w:tr w14:paraId="07DE3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right w:val="single" w:color="auto" w:sz="4" w:space="0"/>
            </w:tcBorders>
          </w:tcPr>
          <w:p w14:paraId="1A3A1C52">
            <w:pPr>
              <w:autoSpaceDE w:val="0"/>
              <w:autoSpaceDN w:val="0"/>
              <w:adjustRightInd w:val="0"/>
              <w:snapToGrid w:val="0"/>
              <w:spacing w:line="400" w:lineRule="atLeast"/>
              <w:rPr>
                <w:rFonts w:hint="eastAsia" w:ascii="宋体" w:hAnsi="宋体" w:eastAsia="宋体"/>
                <w:color w:val="auto"/>
                <w:sz w:val="22"/>
                <w:highlight w:val="none"/>
              </w:rPr>
            </w:pPr>
            <w:r>
              <w:rPr>
                <w:rFonts w:hint="eastAsia" w:ascii="宋体" w:hAnsi="宋体" w:eastAsia="宋体"/>
                <w:color w:val="auto"/>
                <w:sz w:val="22"/>
                <w:highlight w:val="none"/>
              </w:rPr>
              <w:t>3.</w:t>
            </w:r>
          </w:p>
        </w:tc>
        <w:tc>
          <w:tcPr>
            <w:tcW w:w="8760" w:type="dxa"/>
            <w:tcBorders>
              <w:top w:val="single" w:color="auto" w:sz="4" w:space="0"/>
              <w:left w:val="single" w:color="auto" w:sz="4" w:space="0"/>
              <w:right w:val="single" w:color="auto" w:sz="4" w:space="0"/>
            </w:tcBorders>
          </w:tcPr>
          <w:p w14:paraId="1B2577E2">
            <w:pPr>
              <w:autoSpaceDE w:val="0"/>
              <w:autoSpaceDN w:val="0"/>
              <w:adjustRightInd w:val="0"/>
              <w:spacing w:line="400" w:lineRule="atLeast"/>
              <w:textAlignment w:val="bottom"/>
              <w:rPr>
                <w:rFonts w:hint="eastAsia" w:ascii="宋体" w:hAnsi="宋体" w:eastAsia="宋体" w:cs="Times New Roman"/>
                <w:color w:val="auto"/>
                <w:sz w:val="22"/>
                <w:highlight w:val="none"/>
              </w:rPr>
            </w:pPr>
            <w:r>
              <w:rPr>
                <w:rFonts w:hint="eastAsia" w:ascii="宋体" w:hAnsi="宋体" w:eastAsia="宋体" w:cs="Times New Roman"/>
                <w:color w:val="auto"/>
                <w:sz w:val="22"/>
                <w:highlight w:val="none"/>
              </w:rPr>
              <w:t>设备零件、易损件、备品备件报价表（附件三）（如有则提供）</w:t>
            </w:r>
          </w:p>
        </w:tc>
      </w:tr>
      <w:tr w14:paraId="3E60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right w:val="single" w:color="auto" w:sz="4" w:space="0"/>
            </w:tcBorders>
          </w:tcPr>
          <w:p w14:paraId="51FABFC6">
            <w:pPr>
              <w:autoSpaceDE w:val="0"/>
              <w:autoSpaceDN w:val="0"/>
              <w:adjustRightInd w:val="0"/>
              <w:snapToGrid w:val="0"/>
              <w:spacing w:line="400" w:lineRule="atLeast"/>
              <w:rPr>
                <w:rFonts w:hint="eastAsia" w:ascii="宋体" w:hAnsi="宋体" w:eastAsia="宋体"/>
                <w:color w:val="auto"/>
                <w:sz w:val="22"/>
                <w:highlight w:val="none"/>
              </w:rPr>
            </w:pPr>
            <w:r>
              <w:rPr>
                <w:rFonts w:hint="eastAsia" w:ascii="宋体" w:hAnsi="宋体" w:eastAsia="宋体"/>
                <w:color w:val="auto"/>
                <w:sz w:val="22"/>
                <w:highlight w:val="none"/>
              </w:rPr>
              <w:t>4.</w:t>
            </w:r>
          </w:p>
        </w:tc>
        <w:tc>
          <w:tcPr>
            <w:tcW w:w="8760" w:type="dxa"/>
            <w:tcBorders>
              <w:top w:val="single" w:color="auto" w:sz="4" w:space="0"/>
              <w:left w:val="single" w:color="auto" w:sz="4" w:space="0"/>
              <w:right w:val="single" w:color="auto" w:sz="4" w:space="0"/>
            </w:tcBorders>
          </w:tcPr>
          <w:p w14:paraId="2AE7D51C">
            <w:pPr>
              <w:autoSpaceDE w:val="0"/>
              <w:autoSpaceDN w:val="0"/>
              <w:adjustRightInd w:val="0"/>
              <w:spacing w:line="400" w:lineRule="atLeast"/>
              <w:textAlignment w:val="bottom"/>
              <w:rPr>
                <w:rFonts w:hint="eastAsia" w:ascii="宋体" w:hAnsi="宋体" w:eastAsia="宋体" w:cs="Times New Roman"/>
                <w:color w:val="auto"/>
                <w:sz w:val="22"/>
                <w:highlight w:val="none"/>
              </w:rPr>
            </w:pPr>
            <w:r>
              <w:rPr>
                <w:rFonts w:hint="eastAsia" w:ascii="宋体" w:hAnsi="宋体" w:eastAsia="宋体" w:cs="Times New Roman"/>
                <w:color w:val="auto"/>
                <w:sz w:val="22"/>
                <w:highlight w:val="none"/>
              </w:rPr>
              <w:t>质保期后的大修、小修和保养（附件四）（如有则提供）</w:t>
            </w:r>
          </w:p>
        </w:tc>
      </w:tr>
      <w:tr w14:paraId="1136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right w:val="single" w:color="auto" w:sz="4" w:space="0"/>
            </w:tcBorders>
            <w:vAlign w:val="center"/>
          </w:tcPr>
          <w:p w14:paraId="0014D596">
            <w:pPr>
              <w:autoSpaceDE w:val="0"/>
              <w:autoSpaceDN w:val="0"/>
              <w:adjustRightInd w:val="0"/>
              <w:snapToGrid w:val="0"/>
              <w:spacing w:line="400" w:lineRule="atLeas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5.</w:t>
            </w:r>
          </w:p>
        </w:tc>
        <w:tc>
          <w:tcPr>
            <w:tcW w:w="8760" w:type="dxa"/>
            <w:tcBorders>
              <w:top w:val="single" w:color="auto" w:sz="4" w:space="0"/>
              <w:left w:val="single" w:color="auto" w:sz="4" w:space="0"/>
              <w:right w:val="single" w:color="auto" w:sz="4" w:space="0"/>
            </w:tcBorders>
          </w:tcPr>
          <w:p w14:paraId="790290D0">
            <w:pPr>
              <w:autoSpaceDE w:val="0"/>
              <w:autoSpaceDN w:val="0"/>
              <w:adjustRightInd w:val="0"/>
              <w:spacing w:line="400" w:lineRule="atLeast"/>
              <w:textAlignment w:val="bottom"/>
              <w:rPr>
                <w:rFonts w:hint="eastAsia" w:ascii="宋体" w:hAnsi="宋体" w:eastAsia="宋体" w:cs="Times New Roman"/>
                <w:color w:val="auto"/>
                <w:sz w:val="22"/>
                <w:highlight w:val="none"/>
              </w:rPr>
            </w:pPr>
            <w:r>
              <w:rPr>
                <w:rFonts w:hint="eastAsia" w:ascii="宋体" w:hAnsi="宋体" w:eastAsia="宋体" w:cs="Times New Roman"/>
                <w:color w:val="auto"/>
                <w:sz w:val="22"/>
                <w:highlight w:val="none"/>
              </w:rPr>
              <w:t>其它供应商须说明的资料（如有则提供）</w:t>
            </w:r>
          </w:p>
        </w:tc>
      </w:tr>
    </w:tbl>
    <w:p w14:paraId="44679D18">
      <w:pPr>
        <w:autoSpaceDE w:val="0"/>
        <w:autoSpaceDN w:val="0"/>
        <w:adjustRightInd w:val="0"/>
        <w:snapToGrid w:val="0"/>
        <w:spacing w:line="400" w:lineRule="atLeast"/>
        <w:ind w:firstLine="440" w:firstLineChars="200"/>
        <w:textAlignment w:val="bottom"/>
        <w:rPr>
          <w:rFonts w:hint="default" w:ascii="宋体" w:hAnsi="宋体" w:eastAsia="宋体"/>
          <w:color w:val="auto"/>
          <w:sz w:val="22"/>
          <w:highlight w:val="none"/>
          <w:lang w:val="en-US" w:eastAsia="zh-CN"/>
        </w:rPr>
      </w:pPr>
      <w:r>
        <w:rPr>
          <w:rFonts w:ascii="宋体" w:hAnsi="宋体"/>
          <w:color w:val="auto"/>
          <w:sz w:val="22"/>
          <w:highlight w:val="none"/>
        </w:rPr>
        <w:t>2.2</w:t>
      </w:r>
      <w:r>
        <w:rPr>
          <w:rFonts w:hint="eastAsia" w:ascii="宋体" w:hAnsi="宋体"/>
          <w:color w:val="auto"/>
          <w:sz w:val="22"/>
          <w:highlight w:val="none"/>
          <w:lang w:val="en-US" w:eastAsia="zh-CN"/>
        </w:rPr>
        <w:t>资格文件组成</w:t>
      </w:r>
    </w:p>
    <w:tbl>
      <w:tblPr>
        <w:tblStyle w:val="38"/>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8715"/>
      </w:tblGrid>
      <w:tr w14:paraId="7F970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Borders>
              <w:top w:val="single" w:color="auto" w:sz="4" w:space="0"/>
              <w:left w:val="single" w:color="auto" w:sz="4" w:space="0"/>
              <w:bottom w:val="single" w:color="auto" w:sz="4" w:space="0"/>
              <w:right w:val="single" w:color="auto" w:sz="4" w:space="0"/>
            </w:tcBorders>
          </w:tcPr>
          <w:p w14:paraId="18759E7D">
            <w:pPr>
              <w:autoSpaceDE w:val="0"/>
              <w:autoSpaceDN w:val="0"/>
              <w:adjustRightInd w:val="0"/>
              <w:snapToGrid w:val="0"/>
              <w:spacing w:line="400" w:lineRule="atLeast"/>
              <w:rPr>
                <w:rFonts w:hint="eastAsia" w:ascii="宋体" w:hAnsi="宋体" w:eastAsia="宋体" w:cs="宋体"/>
                <w:color w:val="auto"/>
                <w:szCs w:val="21"/>
                <w:highlight w:val="none"/>
              </w:rPr>
            </w:pPr>
            <w:r>
              <w:rPr>
                <w:rFonts w:hint="eastAsia" w:ascii="宋体" w:hAnsi="宋体" w:eastAsia="宋体"/>
                <w:color w:val="auto"/>
                <w:highlight w:val="none"/>
              </w:rPr>
              <w:t>序号</w:t>
            </w:r>
          </w:p>
        </w:tc>
        <w:tc>
          <w:tcPr>
            <w:tcW w:w="8715" w:type="dxa"/>
            <w:tcBorders>
              <w:top w:val="single" w:color="auto" w:sz="4" w:space="0"/>
              <w:left w:val="nil"/>
              <w:bottom w:val="single" w:color="auto" w:sz="4" w:space="0"/>
              <w:right w:val="single" w:color="auto" w:sz="4" w:space="0"/>
            </w:tcBorders>
          </w:tcPr>
          <w:p w14:paraId="61B53918">
            <w:pPr>
              <w:autoSpaceDE w:val="0"/>
              <w:autoSpaceDN w:val="0"/>
              <w:adjustRightInd w:val="0"/>
              <w:snapToGrid w:val="0"/>
              <w:spacing w:line="400" w:lineRule="atLeast"/>
              <w:rPr>
                <w:rFonts w:hint="eastAsia" w:ascii="宋体" w:hAnsi="宋体" w:eastAsia="宋体" w:cs="宋体"/>
                <w:color w:val="auto"/>
                <w:szCs w:val="21"/>
                <w:highlight w:val="none"/>
              </w:rPr>
            </w:pPr>
            <w:r>
              <w:rPr>
                <w:rFonts w:hint="eastAsia" w:ascii="宋体" w:hAnsi="宋体" w:eastAsia="宋体"/>
                <w:color w:val="auto"/>
                <w:highlight w:val="none"/>
              </w:rPr>
              <w:t>内容</w:t>
            </w:r>
            <w:r>
              <w:rPr>
                <w:rFonts w:hint="eastAsia" w:ascii="宋体" w:hAnsi="宋体" w:eastAsia="宋体"/>
                <w:b/>
                <w:bCs/>
                <w:color w:val="auto"/>
                <w:highlight w:val="none"/>
                <w:u w:val="single"/>
              </w:rPr>
              <w:t>（▲序号1-</w:t>
            </w:r>
            <w:r>
              <w:rPr>
                <w:rFonts w:hint="eastAsia" w:ascii="宋体" w:hAnsi="宋体" w:eastAsia="宋体"/>
                <w:b/>
                <w:bCs/>
                <w:color w:val="auto"/>
                <w:highlight w:val="none"/>
                <w:u w:val="single"/>
                <w:lang w:val="en-US" w:eastAsia="zh-CN"/>
              </w:rPr>
              <w:t>7</w:t>
            </w:r>
            <w:r>
              <w:rPr>
                <w:rFonts w:hint="eastAsia" w:ascii="宋体" w:hAnsi="宋体" w:eastAsia="宋体"/>
                <w:b/>
                <w:bCs/>
                <w:color w:val="auto"/>
                <w:highlight w:val="none"/>
                <w:u w:val="single"/>
              </w:rPr>
              <w:t>项供应商必须提供，否则不能通过资格性、符合性审查的，责任自负）</w:t>
            </w:r>
          </w:p>
        </w:tc>
      </w:tr>
      <w:tr w14:paraId="4128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Borders>
              <w:top w:val="single" w:color="auto" w:sz="4" w:space="0"/>
              <w:left w:val="single" w:color="auto" w:sz="4" w:space="0"/>
              <w:bottom w:val="single" w:color="auto" w:sz="4" w:space="0"/>
              <w:right w:val="single" w:color="auto" w:sz="4" w:space="0"/>
            </w:tcBorders>
            <w:vAlign w:val="top"/>
          </w:tcPr>
          <w:p w14:paraId="0E992709">
            <w:pPr>
              <w:numPr>
                <w:ilvl w:val="0"/>
                <w:numId w:val="3"/>
              </w:numPr>
              <w:tabs>
                <w:tab w:val="left" w:pos="1069"/>
                <w:tab w:val="left" w:pos="2352"/>
              </w:tabs>
              <w:autoSpaceDE w:val="0"/>
              <w:autoSpaceDN w:val="0"/>
              <w:adjustRightInd w:val="0"/>
              <w:snapToGrid w:val="0"/>
              <w:spacing w:line="430" w:lineRule="atLeast"/>
              <w:ind w:left="425" w:leftChars="0" w:hanging="425" w:firstLineChars="0"/>
              <w:jc w:val="center"/>
              <w:rPr>
                <w:rFonts w:hint="eastAsia" w:ascii="宋体" w:hAnsi="宋体" w:eastAsia="宋体" w:cs="宋体"/>
                <w:color w:val="auto"/>
                <w:sz w:val="22"/>
                <w:highlight w:val="none"/>
                <w:lang w:val="zh-CN"/>
              </w:rPr>
            </w:pPr>
          </w:p>
        </w:tc>
        <w:tc>
          <w:tcPr>
            <w:tcW w:w="8715" w:type="dxa"/>
            <w:tcBorders>
              <w:top w:val="single" w:color="auto" w:sz="4" w:space="0"/>
              <w:left w:val="nil"/>
              <w:bottom w:val="single" w:color="auto" w:sz="4" w:space="0"/>
              <w:right w:val="single" w:color="auto" w:sz="4" w:space="0"/>
            </w:tcBorders>
            <w:vAlign w:val="top"/>
          </w:tcPr>
          <w:p w14:paraId="4B5A4465">
            <w:pPr>
              <w:tabs>
                <w:tab w:val="left" w:pos="1069"/>
                <w:tab w:val="left" w:pos="2352"/>
              </w:tabs>
              <w:autoSpaceDE w:val="0"/>
              <w:autoSpaceDN w:val="0"/>
              <w:adjustRightInd w:val="0"/>
              <w:snapToGrid w:val="0"/>
              <w:spacing w:line="430" w:lineRule="atLeast"/>
              <w:rPr>
                <w:rFonts w:hint="eastAsia" w:ascii="宋体" w:hAnsi="宋体" w:eastAsia="宋体" w:cs="宋体"/>
                <w:color w:val="auto"/>
                <w:sz w:val="22"/>
                <w:highlight w:val="none"/>
                <w:lang w:val="zh-CN"/>
              </w:rPr>
            </w:pPr>
            <w:r>
              <w:rPr>
                <w:rFonts w:hint="eastAsia" w:ascii="宋体" w:hAnsi="宋体" w:cs="宋体"/>
                <w:color w:val="auto"/>
                <w:sz w:val="22"/>
                <w:szCs w:val="22"/>
                <w:highlight w:val="none"/>
              </w:rPr>
              <w:t>供应商的营业执照、税务登记证（如为多证合一仅需提供营业执照）</w:t>
            </w:r>
          </w:p>
        </w:tc>
      </w:tr>
      <w:tr w14:paraId="1DA26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Borders>
              <w:top w:val="single" w:color="auto" w:sz="4" w:space="0"/>
              <w:left w:val="single" w:color="auto" w:sz="4" w:space="0"/>
              <w:bottom w:val="single" w:color="auto" w:sz="4" w:space="0"/>
              <w:right w:val="single" w:color="auto" w:sz="4" w:space="0"/>
            </w:tcBorders>
            <w:vAlign w:val="top"/>
          </w:tcPr>
          <w:p w14:paraId="17A9D7EE">
            <w:pPr>
              <w:numPr>
                <w:ilvl w:val="0"/>
                <w:numId w:val="3"/>
              </w:numPr>
              <w:tabs>
                <w:tab w:val="left" w:pos="1069"/>
                <w:tab w:val="left" w:pos="2352"/>
              </w:tabs>
              <w:autoSpaceDE w:val="0"/>
              <w:autoSpaceDN w:val="0"/>
              <w:adjustRightInd w:val="0"/>
              <w:snapToGrid w:val="0"/>
              <w:spacing w:line="430" w:lineRule="atLeast"/>
              <w:ind w:left="425" w:leftChars="0" w:hanging="425" w:firstLineChars="0"/>
              <w:jc w:val="center"/>
              <w:rPr>
                <w:rFonts w:hint="eastAsia" w:ascii="宋体" w:hAnsi="宋体" w:eastAsia="宋体" w:cs="宋体"/>
                <w:color w:val="auto"/>
                <w:sz w:val="22"/>
                <w:highlight w:val="none"/>
                <w:lang w:val="zh-CN"/>
              </w:rPr>
            </w:pPr>
          </w:p>
        </w:tc>
        <w:tc>
          <w:tcPr>
            <w:tcW w:w="8715" w:type="dxa"/>
            <w:tcBorders>
              <w:top w:val="single" w:color="auto" w:sz="4" w:space="0"/>
              <w:left w:val="nil"/>
              <w:bottom w:val="single" w:color="auto" w:sz="4" w:space="0"/>
              <w:right w:val="single" w:color="auto" w:sz="4" w:space="0"/>
            </w:tcBorders>
            <w:vAlign w:val="top"/>
          </w:tcPr>
          <w:p w14:paraId="38D11FE8">
            <w:pPr>
              <w:tabs>
                <w:tab w:val="left" w:pos="1069"/>
                <w:tab w:val="left" w:pos="2352"/>
              </w:tabs>
              <w:autoSpaceDE w:val="0"/>
              <w:autoSpaceDN w:val="0"/>
              <w:adjustRightInd w:val="0"/>
              <w:snapToGrid w:val="0"/>
              <w:spacing w:line="430" w:lineRule="atLeast"/>
              <w:rPr>
                <w:rFonts w:hint="eastAsia" w:ascii="宋体" w:hAnsi="宋体" w:eastAsia="宋体" w:cs="宋体"/>
                <w:color w:val="auto"/>
                <w:sz w:val="22"/>
                <w:highlight w:val="none"/>
              </w:rPr>
            </w:pPr>
            <w:r>
              <w:rPr>
                <w:rFonts w:hint="eastAsia" w:ascii="宋体" w:hAnsi="宋体" w:cs="宋体"/>
                <w:color w:val="auto"/>
                <w:sz w:val="22"/>
                <w:szCs w:val="22"/>
                <w:highlight w:val="none"/>
              </w:rPr>
              <w:t>具有良好的商业信誉和健全的财务会计制度的承诺函</w:t>
            </w:r>
            <w:r>
              <w:rPr>
                <w:rStyle w:val="50"/>
                <w:rFonts w:hint="eastAsia" w:cs="宋体"/>
                <w:color w:val="auto"/>
                <w:sz w:val="22"/>
                <w:szCs w:val="22"/>
                <w:highlight w:val="none"/>
                <w:u w:val="none"/>
              </w:rPr>
              <w:t>（附件</w:t>
            </w:r>
            <w:r>
              <w:rPr>
                <w:rStyle w:val="50"/>
                <w:rFonts w:hint="eastAsia" w:cs="宋体"/>
                <w:color w:val="auto"/>
                <w:sz w:val="22"/>
                <w:szCs w:val="22"/>
                <w:highlight w:val="none"/>
                <w:u w:val="none"/>
                <w:lang w:val="en-US" w:eastAsia="zh-CN"/>
              </w:rPr>
              <w:t>五</w:t>
            </w:r>
            <w:r>
              <w:rPr>
                <w:rStyle w:val="50"/>
                <w:rFonts w:hint="eastAsia" w:cs="宋体"/>
                <w:color w:val="auto"/>
                <w:sz w:val="22"/>
                <w:szCs w:val="22"/>
                <w:highlight w:val="none"/>
                <w:u w:val="none"/>
              </w:rPr>
              <w:t>）</w:t>
            </w:r>
          </w:p>
        </w:tc>
      </w:tr>
      <w:tr w14:paraId="2231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Borders>
              <w:top w:val="single" w:color="auto" w:sz="4" w:space="0"/>
              <w:left w:val="single" w:color="auto" w:sz="4" w:space="0"/>
              <w:bottom w:val="single" w:color="auto" w:sz="4" w:space="0"/>
              <w:right w:val="single" w:color="auto" w:sz="4" w:space="0"/>
            </w:tcBorders>
            <w:vAlign w:val="top"/>
          </w:tcPr>
          <w:p w14:paraId="7353101F">
            <w:pPr>
              <w:numPr>
                <w:ilvl w:val="0"/>
                <w:numId w:val="3"/>
              </w:numPr>
              <w:tabs>
                <w:tab w:val="left" w:pos="1069"/>
                <w:tab w:val="left" w:pos="2352"/>
              </w:tabs>
              <w:autoSpaceDE w:val="0"/>
              <w:autoSpaceDN w:val="0"/>
              <w:adjustRightInd w:val="0"/>
              <w:snapToGrid w:val="0"/>
              <w:spacing w:line="430" w:lineRule="atLeast"/>
              <w:ind w:left="425" w:leftChars="0" w:hanging="425" w:firstLineChars="0"/>
              <w:jc w:val="center"/>
              <w:rPr>
                <w:rFonts w:hint="eastAsia" w:ascii="宋体" w:hAnsi="宋体" w:eastAsia="宋体" w:cs="宋体"/>
                <w:color w:val="auto"/>
                <w:sz w:val="22"/>
                <w:highlight w:val="none"/>
                <w:lang w:val="zh-CN"/>
              </w:rPr>
            </w:pPr>
          </w:p>
        </w:tc>
        <w:tc>
          <w:tcPr>
            <w:tcW w:w="8715" w:type="dxa"/>
            <w:tcBorders>
              <w:top w:val="single" w:color="auto" w:sz="4" w:space="0"/>
              <w:left w:val="nil"/>
              <w:bottom w:val="single" w:color="auto" w:sz="4" w:space="0"/>
              <w:right w:val="single" w:color="auto" w:sz="4" w:space="0"/>
            </w:tcBorders>
            <w:vAlign w:val="top"/>
          </w:tcPr>
          <w:p w14:paraId="3CA0CCFE">
            <w:pPr>
              <w:tabs>
                <w:tab w:val="left" w:pos="1069"/>
                <w:tab w:val="left" w:pos="2352"/>
              </w:tabs>
              <w:autoSpaceDE w:val="0"/>
              <w:autoSpaceDN w:val="0"/>
              <w:adjustRightInd w:val="0"/>
              <w:snapToGrid w:val="0"/>
              <w:spacing w:line="430" w:lineRule="atLeast"/>
              <w:rPr>
                <w:rFonts w:hint="eastAsia" w:ascii="宋体" w:hAnsi="宋体" w:eastAsia="宋体" w:cs="宋体"/>
                <w:color w:val="auto"/>
                <w:sz w:val="22"/>
                <w:highlight w:val="none"/>
              </w:rPr>
            </w:pPr>
            <w:r>
              <w:rPr>
                <w:rFonts w:hint="eastAsia" w:ascii="宋体" w:hAnsi="宋体" w:cs="宋体"/>
                <w:color w:val="auto"/>
                <w:sz w:val="22"/>
                <w:szCs w:val="22"/>
                <w:highlight w:val="none"/>
              </w:rPr>
              <w:t>具有履行合同所必需的设备和专业技术能力的承诺函（附件</w:t>
            </w:r>
            <w:r>
              <w:rPr>
                <w:rFonts w:hint="eastAsia" w:ascii="宋体" w:hAnsi="宋体" w:cs="宋体"/>
                <w:color w:val="auto"/>
                <w:sz w:val="22"/>
                <w:szCs w:val="22"/>
                <w:highlight w:val="none"/>
                <w:lang w:val="en-US" w:eastAsia="zh-CN"/>
              </w:rPr>
              <w:t>六</w:t>
            </w:r>
            <w:r>
              <w:rPr>
                <w:rFonts w:hint="eastAsia" w:ascii="宋体" w:hAnsi="宋体" w:cs="宋体"/>
                <w:color w:val="auto"/>
                <w:sz w:val="22"/>
                <w:szCs w:val="22"/>
                <w:highlight w:val="none"/>
              </w:rPr>
              <w:t>）</w:t>
            </w:r>
          </w:p>
        </w:tc>
      </w:tr>
      <w:tr w14:paraId="06C7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Borders>
              <w:top w:val="single" w:color="auto" w:sz="4" w:space="0"/>
              <w:left w:val="single" w:color="auto" w:sz="4" w:space="0"/>
              <w:bottom w:val="single" w:color="auto" w:sz="4" w:space="0"/>
              <w:right w:val="single" w:color="auto" w:sz="4" w:space="0"/>
            </w:tcBorders>
            <w:vAlign w:val="top"/>
          </w:tcPr>
          <w:p w14:paraId="50026432">
            <w:pPr>
              <w:numPr>
                <w:ilvl w:val="0"/>
                <w:numId w:val="3"/>
              </w:numPr>
              <w:tabs>
                <w:tab w:val="left" w:pos="1069"/>
                <w:tab w:val="left" w:pos="2352"/>
              </w:tabs>
              <w:autoSpaceDE w:val="0"/>
              <w:autoSpaceDN w:val="0"/>
              <w:adjustRightInd w:val="0"/>
              <w:snapToGrid w:val="0"/>
              <w:spacing w:line="430" w:lineRule="atLeast"/>
              <w:ind w:left="425" w:leftChars="0" w:hanging="425" w:firstLineChars="0"/>
              <w:jc w:val="center"/>
              <w:rPr>
                <w:rFonts w:hint="eastAsia" w:ascii="宋体" w:hAnsi="宋体" w:eastAsia="宋体" w:cs="宋体"/>
                <w:color w:val="auto"/>
                <w:sz w:val="22"/>
                <w:highlight w:val="none"/>
                <w:lang w:val="zh-CN"/>
              </w:rPr>
            </w:pPr>
          </w:p>
        </w:tc>
        <w:tc>
          <w:tcPr>
            <w:tcW w:w="8715" w:type="dxa"/>
            <w:tcBorders>
              <w:top w:val="single" w:color="auto" w:sz="4" w:space="0"/>
              <w:left w:val="nil"/>
              <w:bottom w:val="single" w:color="auto" w:sz="4" w:space="0"/>
              <w:right w:val="single" w:color="auto" w:sz="4" w:space="0"/>
            </w:tcBorders>
            <w:vAlign w:val="top"/>
          </w:tcPr>
          <w:p w14:paraId="5D809A61">
            <w:pPr>
              <w:tabs>
                <w:tab w:val="left" w:pos="1069"/>
                <w:tab w:val="left" w:pos="2352"/>
              </w:tabs>
              <w:autoSpaceDE w:val="0"/>
              <w:autoSpaceDN w:val="0"/>
              <w:adjustRightInd w:val="0"/>
              <w:snapToGrid w:val="0"/>
              <w:spacing w:line="430" w:lineRule="atLeast"/>
              <w:rPr>
                <w:rFonts w:hint="eastAsia" w:ascii="宋体" w:hAnsi="宋体" w:eastAsia="宋体" w:cs="宋体"/>
                <w:color w:val="auto"/>
                <w:sz w:val="22"/>
                <w:highlight w:val="none"/>
              </w:rPr>
            </w:pPr>
            <w:r>
              <w:rPr>
                <w:rFonts w:hint="eastAsia" w:ascii="宋体" w:hAnsi="宋体" w:cs="宋体"/>
                <w:color w:val="auto"/>
                <w:sz w:val="22"/>
                <w:szCs w:val="22"/>
                <w:highlight w:val="none"/>
                <w:lang w:eastAsia="zh-CN"/>
              </w:rPr>
              <w:t>有依法缴纳税收和社会保障资金的良好记录的承诺函</w:t>
            </w:r>
            <w:r>
              <w:rPr>
                <w:rStyle w:val="50"/>
                <w:rFonts w:hint="eastAsia" w:cs="宋体"/>
                <w:color w:val="auto"/>
                <w:sz w:val="22"/>
                <w:szCs w:val="22"/>
                <w:highlight w:val="none"/>
                <w:u w:val="none"/>
              </w:rPr>
              <w:t>（附件</w:t>
            </w:r>
            <w:r>
              <w:rPr>
                <w:rStyle w:val="50"/>
                <w:rFonts w:hint="eastAsia" w:cs="宋体"/>
                <w:color w:val="auto"/>
                <w:sz w:val="22"/>
                <w:szCs w:val="22"/>
                <w:highlight w:val="none"/>
                <w:u w:val="none"/>
                <w:lang w:val="en-US" w:eastAsia="zh-CN"/>
              </w:rPr>
              <w:t>七</w:t>
            </w:r>
            <w:r>
              <w:rPr>
                <w:rStyle w:val="50"/>
                <w:rFonts w:hint="eastAsia" w:cs="宋体"/>
                <w:color w:val="auto"/>
                <w:sz w:val="22"/>
                <w:szCs w:val="22"/>
                <w:highlight w:val="none"/>
                <w:u w:val="none"/>
              </w:rPr>
              <w:t>）</w:t>
            </w:r>
          </w:p>
        </w:tc>
      </w:tr>
      <w:tr w14:paraId="1A17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Borders>
              <w:top w:val="single" w:color="auto" w:sz="4" w:space="0"/>
              <w:left w:val="single" w:color="auto" w:sz="4" w:space="0"/>
              <w:bottom w:val="single" w:color="auto" w:sz="4" w:space="0"/>
              <w:right w:val="single" w:color="auto" w:sz="4" w:space="0"/>
            </w:tcBorders>
            <w:vAlign w:val="top"/>
          </w:tcPr>
          <w:p w14:paraId="00DF24C7">
            <w:pPr>
              <w:numPr>
                <w:ilvl w:val="0"/>
                <w:numId w:val="3"/>
              </w:numPr>
              <w:tabs>
                <w:tab w:val="left" w:pos="1069"/>
                <w:tab w:val="left" w:pos="2352"/>
              </w:tabs>
              <w:autoSpaceDE w:val="0"/>
              <w:autoSpaceDN w:val="0"/>
              <w:adjustRightInd w:val="0"/>
              <w:snapToGrid w:val="0"/>
              <w:spacing w:line="430" w:lineRule="atLeast"/>
              <w:ind w:left="425" w:leftChars="0" w:hanging="425" w:firstLineChars="0"/>
              <w:jc w:val="center"/>
              <w:rPr>
                <w:rFonts w:hint="eastAsia" w:ascii="宋体" w:hAnsi="宋体" w:eastAsia="宋体" w:cs="宋体"/>
                <w:color w:val="auto"/>
                <w:sz w:val="22"/>
                <w:highlight w:val="none"/>
                <w:lang w:val="zh-CN"/>
              </w:rPr>
            </w:pPr>
          </w:p>
        </w:tc>
        <w:tc>
          <w:tcPr>
            <w:tcW w:w="8715" w:type="dxa"/>
            <w:tcBorders>
              <w:top w:val="single" w:color="auto" w:sz="4" w:space="0"/>
              <w:left w:val="nil"/>
              <w:bottom w:val="single" w:color="auto" w:sz="4" w:space="0"/>
              <w:right w:val="single" w:color="auto" w:sz="4" w:space="0"/>
            </w:tcBorders>
            <w:vAlign w:val="top"/>
          </w:tcPr>
          <w:p w14:paraId="74976232">
            <w:pPr>
              <w:tabs>
                <w:tab w:val="left" w:pos="1069"/>
                <w:tab w:val="left" w:pos="2352"/>
              </w:tabs>
              <w:autoSpaceDE w:val="0"/>
              <w:autoSpaceDN w:val="0"/>
              <w:adjustRightInd w:val="0"/>
              <w:snapToGrid w:val="0"/>
              <w:spacing w:line="430" w:lineRule="atLeast"/>
              <w:rPr>
                <w:rFonts w:hint="eastAsia" w:ascii="宋体" w:hAnsi="宋体" w:eastAsia="宋体" w:cs="宋体"/>
                <w:color w:val="auto"/>
                <w:sz w:val="22"/>
                <w:highlight w:val="none"/>
              </w:rPr>
            </w:pPr>
            <w:r>
              <w:rPr>
                <w:rFonts w:hint="eastAsia" w:ascii="宋体" w:hAnsi="宋体" w:cs="宋体"/>
                <w:color w:val="auto"/>
                <w:sz w:val="22"/>
                <w:szCs w:val="22"/>
                <w:highlight w:val="none"/>
              </w:rPr>
              <w:t>参加政府采购活动前3年内在经营活动中没有重大违法记录的声明函（附件</w:t>
            </w:r>
            <w:r>
              <w:rPr>
                <w:rFonts w:hint="eastAsia" w:ascii="宋体" w:hAnsi="宋体" w:cs="宋体"/>
                <w:color w:val="auto"/>
                <w:sz w:val="22"/>
                <w:szCs w:val="22"/>
                <w:highlight w:val="none"/>
                <w:lang w:val="en-US" w:eastAsia="zh-CN"/>
              </w:rPr>
              <w:t>八</w:t>
            </w:r>
            <w:r>
              <w:rPr>
                <w:rFonts w:hint="eastAsia" w:ascii="宋体" w:hAnsi="宋体" w:cs="宋体"/>
                <w:color w:val="auto"/>
                <w:sz w:val="22"/>
                <w:szCs w:val="22"/>
                <w:highlight w:val="none"/>
              </w:rPr>
              <w:t>）</w:t>
            </w:r>
          </w:p>
        </w:tc>
      </w:tr>
      <w:tr w14:paraId="7D299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Borders>
              <w:top w:val="single" w:color="auto" w:sz="4" w:space="0"/>
              <w:left w:val="single" w:color="auto" w:sz="4" w:space="0"/>
              <w:bottom w:val="single" w:color="auto" w:sz="4" w:space="0"/>
              <w:right w:val="single" w:color="auto" w:sz="4" w:space="0"/>
            </w:tcBorders>
            <w:vAlign w:val="top"/>
          </w:tcPr>
          <w:p w14:paraId="70D0AB23">
            <w:pPr>
              <w:numPr>
                <w:ilvl w:val="0"/>
                <w:numId w:val="3"/>
              </w:numPr>
              <w:tabs>
                <w:tab w:val="left" w:pos="1069"/>
                <w:tab w:val="left" w:pos="2352"/>
              </w:tabs>
              <w:autoSpaceDE w:val="0"/>
              <w:autoSpaceDN w:val="0"/>
              <w:adjustRightInd w:val="0"/>
              <w:snapToGrid w:val="0"/>
              <w:spacing w:line="430" w:lineRule="atLeast"/>
              <w:ind w:left="425" w:leftChars="0" w:hanging="425" w:firstLineChars="0"/>
              <w:jc w:val="center"/>
              <w:rPr>
                <w:rFonts w:hint="eastAsia" w:ascii="宋体" w:hAnsi="宋体" w:eastAsia="宋体" w:cs="宋体"/>
                <w:color w:val="auto"/>
                <w:sz w:val="22"/>
                <w:highlight w:val="none"/>
                <w:lang w:val="zh-CN"/>
              </w:rPr>
            </w:pPr>
          </w:p>
        </w:tc>
        <w:tc>
          <w:tcPr>
            <w:tcW w:w="8715" w:type="dxa"/>
            <w:tcBorders>
              <w:top w:val="single" w:color="auto" w:sz="4" w:space="0"/>
              <w:left w:val="nil"/>
              <w:bottom w:val="single" w:color="auto" w:sz="4" w:space="0"/>
              <w:right w:val="single" w:color="auto" w:sz="4" w:space="0"/>
            </w:tcBorders>
            <w:vAlign w:val="center"/>
          </w:tcPr>
          <w:p w14:paraId="30CA3CA9">
            <w:pPr>
              <w:tabs>
                <w:tab w:val="left" w:pos="1069"/>
                <w:tab w:val="left" w:pos="2352"/>
              </w:tabs>
              <w:autoSpaceDE w:val="0"/>
              <w:autoSpaceDN w:val="0"/>
              <w:adjustRightInd w:val="0"/>
              <w:spacing w:line="260" w:lineRule="exact"/>
              <w:textAlignment w:val="bottom"/>
              <w:rPr>
                <w:rFonts w:hint="eastAsia" w:ascii="宋体" w:hAnsi="宋体" w:eastAsia="宋体" w:cs="宋体"/>
                <w:color w:val="auto"/>
                <w:sz w:val="22"/>
                <w:highlight w:val="none"/>
              </w:rPr>
            </w:pPr>
            <w:r>
              <w:rPr>
                <w:rFonts w:hint="eastAsia" w:ascii="宋体" w:hAnsi="宋体" w:cs="宋体"/>
                <w:color w:val="auto"/>
                <w:sz w:val="22"/>
                <w:szCs w:val="22"/>
                <w:highlight w:val="none"/>
              </w:rPr>
              <w:t>供应商“信用中国”(</w:t>
            </w:r>
            <w:r>
              <w:rPr>
                <w:color w:val="auto"/>
                <w:sz w:val="22"/>
                <w:szCs w:val="22"/>
                <w:highlight w:val="none"/>
              </w:rPr>
              <w:fldChar w:fldCharType="begin"/>
            </w:r>
            <w:r>
              <w:rPr>
                <w:color w:val="auto"/>
                <w:sz w:val="22"/>
                <w:szCs w:val="22"/>
                <w:highlight w:val="none"/>
              </w:rPr>
              <w:instrText xml:space="preserve"> HYPERLINK "http://www.creditchina.gov.cn" </w:instrText>
            </w:r>
            <w:r>
              <w:rPr>
                <w:color w:val="auto"/>
                <w:sz w:val="22"/>
                <w:szCs w:val="22"/>
                <w:highlight w:val="none"/>
              </w:rPr>
              <w:fldChar w:fldCharType="separate"/>
            </w:r>
            <w:r>
              <w:rPr>
                <w:rFonts w:hint="eastAsia" w:ascii="宋体" w:hAnsi="宋体" w:cs="宋体"/>
                <w:color w:val="auto"/>
                <w:sz w:val="22"/>
                <w:szCs w:val="22"/>
                <w:highlight w:val="none"/>
              </w:rPr>
              <w:t>www.creditchina.gov.cn</w: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)；“中国政府采购网”（http://www.ccgp.gov.cn/）信用记录网页截图（招标公告发布之日至投标截止时间前均可）</w:t>
            </w:r>
          </w:p>
        </w:tc>
      </w:tr>
      <w:tr w14:paraId="7080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Borders>
              <w:top w:val="single" w:color="auto" w:sz="4" w:space="0"/>
              <w:left w:val="single" w:color="auto" w:sz="4" w:space="0"/>
              <w:bottom w:val="single" w:color="auto" w:sz="4" w:space="0"/>
              <w:right w:val="single" w:color="auto" w:sz="4" w:space="0"/>
            </w:tcBorders>
            <w:vAlign w:val="top"/>
          </w:tcPr>
          <w:p w14:paraId="75AB12D6">
            <w:pPr>
              <w:numPr>
                <w:ilvl w:val="0"/>
                <w:numId w:val="3"/>
              </w:numPr>
              <w:tabs>
                <w:tab w:val="left" w:pos="1069"/>
                <w:tab w:val="left" w:pos="2352"/>
              </w:tabs>
              <w:autoSpaceDE w:val="0"/>
              <w:autoSpaceDN w:val="0"/>
              <w:adjustRightInd w:val="0"/>
              <w:snapToGrid w:val="0"/>
              <w:spacing w:line="430" w:lineRule="atLeast"/>
              <w:ind w:left="425" w:leftChars="0" w:hanging="425" w:firstLineChars="0"/>
              <w:jc w:val="center"/>
              <w:rPr>
                <w:rFonts w:hint="eastAsia" w:ascii="宋体" w:hAnsi="宋体" w:eastAsia="宋体" w:cs="宋体"/>
                <w:color w:val="auto"/>
                <w:sz w:val="22"/>
                <w:highlight w:val="none"/>
                <w:lang w:val="zh-CN"/>
              </w:rPr>
            </w:pPr>
          </w:p>
        </w:tc>
        <w:tc>
          <w:tcPr>
            <w:tcW w:w="8715" w:type="dxa"/>
            <w:tcBorders>
              <w:top w:val="single" w:color="auto" w:sz="4" w:space="0"/>
              <w:left w:val="nil"/>
              <w:bottom w:val="single" w:color="auto" w:sz="4" w:space="0"/>
              <w:right w:val="single" w:color="auto" w:sz="4" w:space="0"/>
            </w:tcBorders>
            <w:vAlign w:val="center"/>
          </w:tcPr>
          <w:p w14:paraId="5FACDC01">
            <w:pPr>
              <w:tabs>
                <w:tab w:val="left" w:pos="1069"/>
                <w:tab w:val="left" w:pos="2352"/>
              </w:tabs>
              <w:autoSpaceDE w:val="0"/>
              <w:autoSpaceDN w:val="0"/>
              <w:adjustRightInd w:val="0"/>
              <w:spacing w:line="260" w:lineRule="exact"/>
              <w:textAlignment w:val="bottom"/>
              <w:rPr>
                <w:rFonts w:hint="eastAsia" w:ascii="宋体" w:hAnsi="宋体" w:eastAsia="宋体" w:cs="宋体"/>
                <w:color w:val="auto"/>
                <w:sz w:val="22"/>
                <w:highlight w:val="none"/>
              </w:rPr>
            </w:pPr>
            <w:r>
              <w:rPr>
                <w:rFonts w:hint="eastAsia" w:ascii="宋体" w:hAnsi="宋体" w:cs="宋体"/>
                <w:color w:val="auto"/>
                <w:sz w:val="22"/>
                <w:szCs w:val="22"/>
                <w:highlight w:val="none"/>
              </w:rPr>
              <w:t>法定代表人授权书（附件</w:t>
            </w:r>
            <w:r>
              <w:rPr>
                <w:rFonts w:hint="eastAsia" w:ascii="宋体" w:hAnsi="宋体" w:cs="宋体"/>
                <w:color w:val="auto"/>
                <w:sz w:val="22"/>
                <w:szCs w:val="22"/>
                <w:highlight w:val="none"/>
                <w:lang w:val="en-US" w:eastAsia="zh-CN"/>
              </w:rPr>
              <w:t>九</w:t>
            </w:r>
            <w:r>
              <w:rPr>
                <w:rFonts w:hint="eastAsia" w:ascii="宋体" w:hAnsi="宋体" w:cs="宋体"/>
                <w:color w:val="auto"/>
                <w:sz w:val="22"/>
                <w:szCs w:val="22"/>
                <w:highlight w:val="none"/>
              </w:rPr>
              <w:t>）</w:t>
            </w:r>
          </w:p>
        </w:tc>
      </w:tr>
      <w:tr w14:paraId="6BFE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Borders>
              <w:top w:val="single" w:color="auto" w:sz="4" w:space="0"/>
              <w:left w:val="single" w:color="auto" w:sz="4" w:space="0"/>
              <w:bottom w:val="single" w:color="auto" w:sz="4" w:space="0"/>
              <w:right w:val="single" w:color="auto" w:sz="4" w:space="0"/>
            </w:tcBorders>
            <w:vAlign w:val="top"/>
          </w:tcPr>
          <w:p w14:paraId="2FF182F3">
            <w:pPr>
              <w:numPr>
                <w:ilvl w:val="0"/>
                <w:numId w:val="3"/>
              </w:numPr>
              <w:tabs>
                <w:tab w:val="left" w:pos="1069"/>
                <w:tab w:val="left" w:pos="2352"/>
              </w:tabs>
              <w:autoSpaceDE w:val="0"/>
              <w:autoSpaceDN w:val="0"/>
              <w:adjustRightInd w:val="0"/>
              <w:snapToGrid w:val="0"/>
              <w:spacing w:line="430" w:lineRule="atLeast"/>
              <w:ind w:left="425" w:leftChars="0" w:hanging="425" w:firstLineChars="0"/>
              <w:jc w:val="center"/>
              <w:rPr>
                <w:rFonts w:hint="eastAsia" w:ascii="宋体" w:hAnsi="宋体" w:eastAsia="宋体" w:cs="宋体"/>
                <w:color w:val="auto"/>
                <w:sz w:val="22"/>
                <w:highlight w:val="none"/>
                <w:lang w:val="zh-CN"/>
              </w:rPr>
            </w:pPr>
          </w:p>
        </w:tc>
        <w:tc>
          <w:tcPr>
            <w:tcW w:w="8715" w:type="dxa"/>
            <w:tcBorders>
              <w:top w:val="single" w:color="auto" w:sz="4" w:space="0"/>
              <w:left w:val="nil"/>
              <w:bottom w:val="single" w:color="auto" w:sz="4" w:space="0"/>
              <w:right w:val="single" w:color="auto" w:sz="4" w:space="0"/>
            </w:tcBorders>
            <w:vAlign w:val="center"/>
          </w:tcPr>
          <w:p w14:paraId="55596806">
            <w:pPr>
              <w:autoSpaceDE w:val="0"/>
              <w:autoSpaceDN w:val="0"/>
              <w:adjustRightInd w:val="0"/>
              <w:spacing w:line="260" w:lineRule="exact"/>
              <w:jc w:val="left"/>
              <w:textAlignment w:val="bottom"/>
              <w:rPr>
                <w:rFonts w:ascii="宋体" w:hAnsi="宋体" w:cs="Arial"/>
                <w:color w:val="auto"/>
                <w:sz w:val="22"/>
                <w:highlight w:val="none"/>
              </w:rPr>
            </w:pPr>
            <w:r>
              <w:rPr>
                <w:rFonts w:hint="eastAsia" w:ascii="宋体" w:hAnsi="宋体" w:cs="Arial"/>
                <w:color w:val="auto"/>
                <w:sz w:val="22"/>
                <w:highlight w:val="none"/>
              </w:rPr>
              <w:t>中小企业相关的证明材料：</w:t>
            </w:r>
          </w:p>
          <w:p w14:paraId="08E09029">
            <w:pPr>
              <w:numPr>
                <w:ilvl w:val="0"/>
                <w:numId w:val="4"/>
              </w:numPr>
              <w:autoSpaceDE w:val="0"/>
              <w:autoSpaceDN w:val="0"/>
              <w:adjustRightInd w:val="0"/>
              <w:spacing w:line="260" w:lineRule="exact"/>
              <w:jc w:val="left"/>
              <w:textAlignment w:val="bottom"/>
              <w:rPr>
                <w:rFonts w:ascii="宋体" w:hAnsi="宋体" w:cs="Arial"/>
                <w:color w:val="auto"/>
                <w:sz w:val="22"/>
                <w:highlight w:val="none"/>
              </w:rPr>
            </w:pPr>
            <w:r>
              <w:rPr>
                <w:rFonts w:hint="eastAsia" w:ascii="宋体" w:hAnsi="宋体" w:cs="Arial"/>
                <w:color w:val="auto"/>
                <w:sz w:val="22"/>
                <w:highlight w:val="none"/>
              </w:rPr>
              <w:t>中小企业</w:t>
            </w:r>
          </w:p>
          <w:p w14:paraId="57542C27">
            <w:pPr>
              <w:autoSpaceDE w:val="0"/>
              <w:autoSpaceDN w:val="0"/>
              <w:adjustRightInd w:val="0"/>
              <w:spacing w:line="260" w:lineRule="exact"/>
              <w:jc w:val="left"/>
              <w:textAlignment w:val="bottom"/>
              <w:rPr>
                <w:rFonts w:ascii="宋体" w:hAnsi="宋体" w:cs="Arial"/>
                <w:color w:val="auto"/>
                <w:sz w:val="22"/>
                <w:highlight w:val="none"/>
              </w:rPr>
            </w:pPr>
            <w:r>
              <w:rPr>
                <w:rFonts w:hint="eastAsia" w:ascii="宋体" w:hAnsi="宋体" w:cs="Arial"/>
                <w:color w:val="auto"/>
                <w:sz w:val="22"/>
                <w:highlight w:val="none"/>
              </w:rPr>
              <w:t>中小企业声明函（原件，加盖供应商公章，格式见采购文件第四部分附件1）</w:t>
            </w:r>
          </w:p>
          <w:p w14:paraId="0AB5F2BF">
            <w:pPr>
              <w:autoSpaceDE w:val="0"/>
              <w:autoSpaceDN w:val="0"/>
              <w:adjustRightInd w:val="0"/>
              <w:spacing w:line="260" w:lineRule="exact"/>
              <w:jc w:val="left"/>
              <w:textAlignment w:val="bottom"/>
              <w:rPr>
                <w:rFonts w:ascii="宋体" w:hAnsi="宋体" w:cs="Arial"/>
                <w:color w:val="auto"/>
                <w:sz w:val="22"/>
                <w:highlight w:val="none"/>
              </w:rPr>
            </w:pPr>
            <w:r>
              <w:rPr>
                <w:rFonts w:hint="eastAsia" w:ascii="宋体" w:hAnsi="宋体" w:cs="Arial"/>
                <w:color w:val="auto"/>
                <w:sz w:val="22"/>
                <w:highlight w:val="none"/>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0B9E6FC5">
            <w:pPr>
              <w:tabs>
                <w:tab w:val="left" w:pos="1069"/>
                <w:tab w:val="left" w:pos="2352"/>
              </w:tabs>
              <w:autoSpaceDE w:val="0"/>
              <w:autoSpaceDN w:val="0"/>
              <w:adjustRightInd w:val="0"/>
              <w:spacing w:line="260" w:lineRule="exact"/>
              <w:textAlignment w:val="bottom"/>
              <w:rPr>
                <w:rFonts w:hint="eastAsia" w:ascii="宋体" w:hAnsi="宋体" w:eastAsia="宋体" w:cs="宋体"/>
                <w:color w:val="auto"/>
                <w:sz w:val="22"/>
                <w:highlight w:val="none"/>
              </w:rPr>
            </w:pPr>
            <w:r>
              <w:rPr>
                <w:rFonts w:hint="eastAsia" w:ascii="宋体" w:hAnsi="宋体" w:cs="Arial"/>
                <w:color w:val="auto"/>
                <w:sz w:val="22"/>
                <w:highlight w:val="none"/>
              </w:rPr>
              <w:t>（3）残疾人福利性单位声明函（原件，加盖供应商公章，格式见采购文件第四部分附件2）在政府采购活动中，残疾</w:t>
            </w:r>
            <w:r>
              <w:rPr>
                <w:rFonts w:hint="eastAsia" w:ascii="宋体"/>
                <w:color w:val="auto"/>
                <w:sz w:val="22"/>
                <w:highlight w:val="none"/>
              </w:rPr>
              <w:t>人福利性单位视同小型、微型企业。</w:t>
            </w:r>
          </w:p>
        </w:tc>
      </w:tr>
      <w:bookmarkEnd w:id="188"/>
    </w:tbl>
    <w:p w14:paraId="0B5FA860">
      <w:pPr>
        <w:autoSpaceDE w:val="0"/>
        <w:autoSpaceDN w:val="0"/>
        <w:adjustRightInd w:val="0"/>
        <w:spacing w:line="400" w:lineRule="exact"/>
        <w:ind w:firstLine="440" w:firstLineChars="200"/>
        <w:textAlignment w:val="bottom"/>
        <w:rPr>
          <w:rFonts w:hint="eastAsia" w:ascii="宋体" w:hAnsi="宋体" w:cs="宋体"/>
          <w:b w:val="0"/>
          <w:bCs w:val="0"/>
          <w:color w:val="auto"/>
          <w:sz w:val="22"/>
          <w:highlight w:val="none"/>
        </w:rPr>
      </w:pPr>
      <w:r>
        <w:rPr>
          <w:rFonts w:hint="eastAsia" w:ascii="宋体" w:hAnsi="宋体" w:cs="宋体"/>
          <w:color w:val="auto"/>
          <w:sz w:val="22"/>
          <w:highlight w:val="none"/>
        </w:rPr>
        <w:t xml:space="preserve">2.3 </w:t>
      </w:r>
      <w:r>
        <w:rPr>
          <w:rFonts w:hint="eastAsia" w:ascii="宋体" w:hAnsi="宋体" w:cs="宋体"/>
          <w:b w:val="0"/>
          <w:bCs w:val="0"/>
          <w:color w:val="auto"/>
          <w:sz w:val="22"/>
          <w:highlight w:val="none"/>
        </w:rPr>
        <w:t>商务技术文件组成</w:t>
      </w:r>
    </w:p>
    <w:tbl>
      <w:tblPr>
        <w:tblStyle w:val="38"/>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8715"/>
      </w:tblGrid>
      <w:tr w14:paraId="6E33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top"/>
          </w:tcPr>
          <w:p w14:paraId="33179738">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8715" w:type="dxa"/>
            <w:noWrap w:val="0"/>
            <w:vAlign w:val="top"/>
          </w:tcPr>
          <w:p w14:paraId="772580C4">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内容（▲序号1</w:t>
            </w:r>
            <w:r>
              <w:rPr>
                <w:rFonts w:hint="eastAsia" w:ascii="宋体" w:hAnsi="宋体" w:cs="宋体"/>
                <w:color w:val="auto"/>
                <w:sz w:val="22"/>
                <w:highlight w:val="none"/>
              </w:rPr>
              <w:t>-</w:t>
            </w:r>
            <w:r>
              <w:rPr>
                <w:rFonts w:hint="eastAsia" w:ascii="宋体" w:hAnsi="宋体" w:cs="宋体"/>
                <w:color w:val="auto"/>
                <w:sz w:val="22"/>
                <w:highlight w:val="none"/>
                <w:lang w:val="en-US" w:eastAsia="zh-CN"/>
              </w:rPr>
              <w:t>5</w:t>
            </w:r>
            <w:r>
              <w:rPr>
                <w:rFonts w:hint="eastAsia" w:ascii="宋体" w:hAnsi="宋体" w:cs="宋体"/>
                <w:color w:val="auto"/>
                <w:sz w:val="22"/>
                <w:highlight w:val="none"/>
                <w:lang w:val="zh-CN"/>
              </w:rPr>
              <w:t>项供应商必须提供，否则不能通过符合性审查的，责任自负）</w:t>
            </w:r>
          </w:p>
        </w:tc>
      </w:tr>
      <w:tr w14:paraId="30C0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05" w:type="dxa"/>
            <w:noWrap w:val="0"/>
            <w:vAlign w:val="top"/>
          </w:tcPr>
          <w:p w14:paraId="67352CEB">
            <w:pPr>
              <w:numPr>
                <w:ilvl w:val="0"/>
                <w:numId w:val="5"/>
              </w:numPr>
              <w:tabs>
                <w:tab w:val="left" w:pos="1069"/>
                <w:tab w:val="left" w:pos="2352"/>
              </w:tabs>
              <w:autoSpaceDE w:val="0"/>
              <w:autoSpaceDN w:val="0"/>
              <w:adjustRightInd w:val="0"/>
              <w:snapToGrid w:val="0"/>
              <w:spacing w:line="430" w:lineRule="atLeast"/>
              <w:ind w:left="425" w:leftChars="0" w:hanging="425" w:firstLineChars="0"/>
              <w:rPr>
                <w:rFonts w:ascii="宋体" w:hAnsi="宋体" w:cs="宋体"/>
                <w:color w:val="auto"/>
                <w:sz w:val="22"/>
                <w:highlight w:val="none"/>
                <w:lang w:val="zh-CN"/>
              </w:rPr>
            </w:pPr>
          </w:p>
        </w:tc>
        <w:tc>
          <w:tcPr>
            <w:tcW w:w="8715" w:type="dxa"/>
            <w:noWrap w:val="0"/>
            <w:vAlign w:val="top"/>
          </w:tcPr>
          <w:p w14:paraId="7A6ECEFD">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lang w:val="zh-CN"/>
              </w:rPr>
            </w:pPr>
            <w:r>
              <w:rPr>
                <w:rFonts w:hint="eastAsia" w:ascii="宋体" w:hAnsi="宋体" w:cs="宋体"/>
                <w:b/>
                <w:bCs/>
                <w:color w:val="auto"/>
                <w:sz w:val="22"/>
                <w:highlight w:val="none"/>
              </w:rPr>
              <w:t>报价函（附件</w:t>
            </w:r>
            <w:r>
              <w:rPr>
                <w:rFonts w:hint="eastAsia" w:ascii="宋体" w:hAnsi="宋体" w:cs="宋体"/>
                <w:b/>
                <w:bCs/>
                <w:color w:val="auto"/>
                <w:sz w:val="22"/>
                <w:highlight w:val="none"/>
                <w:lang w:val="en-US" w:eastAsia="zh-CN"/>
              </w:rPr>
              <w:t>十</w:t>
            </w:r>
            <w:r>
              <w:rPr>
                <w:rFonts w:hint="eastAsia" w:ascii="宋体" w:hAnsi="宋体" w:cs="宋体"/>
                <w:b/>
                <w:bCs/>
                <w:color w:val="auto"/>
                <w:sz w:val="22"/>
                <w:highlight w:val="none"/>
              </w:rPr>
              <w:t>）</w:t>
            </w:r>
          </w:p>
        </w:tc>
      </w:tr>
      <w:tr w14:paraId="0057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top"/>
          </w:tcPr>
          <w:p w14:paraId="650F12B4">
            <w:pPr>
              <w:numPr>
                <w:ilvl w:val="0"/>
                <w:numId w:val="5"/>
              </w:numPr>
              <w:tabs>
                <w:tab w:val="left" w:pos="1069"/>
                <w:tab w:val="left" w:pos="2352"/>
              </w:tabs>
              <w:autoSpaceDE w:val="0"/>
              <w:autoSpaceDN w:val="0"/>
              <w:adjustRightInd w:val="0"/>
              <w:snapToGrid w:val="0"/>
              <w:spacing w:line="430" w:lineRule="atLeast"/>
              <w:ind w:left="425" w:leftChars="0" w:hanging="425" w:firstLineChars="0"/>
              <w:rPr>
                <w:rFonts w:ascii="宋体" w:hAnsi="宋体" w:cs="宋体"/>
                <w:color w:val="auto"/>
                <w:sz w:val="22"/>
                <w:highlight w:val="none"/>
                <w:lang w:val="zh-CN"/>
              </w:rPr>
            </w:pPr>
          </w:p>
        </w:tc>
        <w:tc>
          <w:tcPr>
            <w:tcW w:w="8715" w:type="dxa"/>
            <w:noWrap w:val="0"/>
            <w:vAlign w:val="top"/>
          </w:tcPr>
          <w:p w14:paraId="2C029114">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lang w:val="zh-CN"/>
              </w:rPr>
            </w:pPr>
            <w:r>
              <w:rPr>
                <w:rFonts w:hint="eastAsia" w:ascii="宋体" w:hAnsi="宋体" w:cs="宋体"/>
                <w:b/>
                <w:bCs/>
                <w:color w:val="auto"/>
                <w:sz w:val="22"/>
                <w:highlight w:val="none"/>
              </w:rPr>
              <w:t>供应商参与政府采购活动投标资格声明（附件</w:t>
            </w:r>
            <w:r>
              <w:rPr>
                <w:rFonts w:hint="eastAsia" w:ascii="宋体" w:hAnsi="宋体" w:cs="宋体"/>
                <w:b/>
                <w:bCs/>
                <w:color w:val="auto"/>
                <w:sz w:val="22"/>
                <w:highlight w:val="none"/>
                <w:lang w:val="en-US" w:eastAsia="zh-CN"/>
              </w:rPr>
              <w:t>十一</w:t>
            </w:r>
            <w:r>
              <w:rPr>
                <w:rFonts w:hint="eastAsia" w:ascii="宋体" w:hAnsi="宋体" w:cs="宋体"/>
                <w:b/>
                <w:bCs/>
                <w:color w:val="auto"/>
                <w:sz w:val="22"/>
                <w:highlight w:val="none"/>
              </w:rPr>
              <w:t>）</w:t>
            </w:r>
          </w:p>
        </w:tc>
      </w:tr>
      <w:tr w14:paraId="42A7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5" w:type="dxa"/>
            <w:noWrap w:val="0"/>
            <w:vAlign w:val="top"/>
          </w:tcPr>
          <w:p w14:paraId="1A9B8653">
            <w:pPr>
              <w:numPr>
                <w:ilvl w:val="0"/>
                <w:numId w:val="5"/>
              </w:numPr>
              <w:tabs>
                <w:tab w:val="left" w:pos="1069"/>
                <w:tab w:val="left" w:pos="2352"/>
              </w:tabs>
              <w:autoSpaceDE w:val="0"/>
              <w:autoSpaceDN w:val="0"/>
              <w:adjustRightInd w:val="0"/>
              <w:snapToGrid w:val="0"/>
              <w:spacing w:line="430" w:lineRule="atLeast"/>
              <w:ind w:left="425" w:leftChars="0" w:hanging="425" w:firstLineChars="0"/>
              <w:rPr>
                <w:rFonts w:ascii="宋体" w:hAnsi="宋体" w:cs="宋体"/>
                <w:color w:val="auto"/>
                <w:sz w:val="22"/>
                <w:highlight w:val="none"/>
                <w:lang w:val="zh-CN"/>
              </w:rPr>
            </w:pPr>
          </w:p>
        </w:tc>
        <w:tc>
          <w:tcPr>
            <w:tcW w:w="8715" w:type="dxa"/>
            <w:noWrap w:val="0"/>
            <w:vAlign w:val="top"/>
          </w:tcPr>
          <w:p w14:paraId="0A0353F0">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rPr>
            </w:pPr>
            <w:r>
              <w:rPr>
                <w:rFonts w:hint="eastAsia" w:ascii="宋体" w:hAnsi="宋体" w:cs="宋体"/>
                <w:b/>
                <w:bCs/>
                <w:color w:val="auto"/>
                <w:sz w:val="22"/>
                <w:highlight w:val="none"/>
              </w:rPr>
              <w:t>法定代表人诚信投标承诺书（附件</w:t>
            </w:r>
            <w:r>
              <w:rPr>
                <w:rFonts w:hint="eastAsia" w:ascii="宋体" w:hAnsi="宋体" w:cs="宋体"/>
                <w:b/>
                <w:bCs/>
                <w:color w:val="auto"/>
                <w:sz w:val="22"/>
                <w:highlight w:val="none"/>
                <w:lang w:val="en-US" w:eastAsia="zh-CN"/>
              </w:rPr>
              <w:t>十二</w:t>
            </w:r>
            <w:r>
              <w:rPr>
                <w:rFonts w:hint="eastAsia" w:ascii="宋体" w:hAnsi="宋体" w:cs="宋体"/>
                <w:b/>
                <w:bCs/>
                <w:color w:val="auto"/>
                <w:sz w:val="22"/>
                <w:highlight w:val="none"/>
              </w:rPr>
              <w:t>）</w:t>
            </w:r>
          </w:p>
        </w:tc>
      </w:tr>
      <w:tr w14:paraId="285C7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top"/>
          </w:tcPr>
          <w:p w14:paraId="2D22012B">
            <w:pPr>
              <w:numPr>
                <w:ilvl w:val="0"/>
                <w:numId w:val="5"/>
              </w:numPr>
              <w:tabs>
                <w:tab w:val="left" w:pos="1069"/>
                <w:tab w:val="left" w:pos="2352"/>
              </w:tabs>
              <w:autoSpaceDE w:val="0"/>
              <w:autoSpaceDN w:val="0"/>
              <w:adjustRightInd w:val="0"/>
              <w:snapToGrid w:val="0"/>
              <w:spacing w:line="430" w:lineRule="atLeast"/>
              <w:ind w:left="425" w:leftChars="0" w:hanging="425" w:firstLineChars="0"/>
              <w:rPr>
                <w:rFonts w:ascii="宋体" w:hAnsi="宋体" w:cs="宋体"/>
                <w:color w:val="auto"/>
                <w:sz w:val="22"/>
                <w:highlight w:val="none"/>
                <w:lang w:val="zh-CN"/>
              </w:rPr>
            </w:pPr>
          </w:p>
        </w:tc>
        <w:tc>
          <w:tcPr>
            <w:tcW w:w="8715" w:type="dxa"/>
            <w:noWrap w:val="0"/>
            <w:vAlign w:val="top"/>
          </w:tcPr>
          <w:p w14:paraId="59BC7FEC">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rPr>
            </w:pPr>
            <w:r>
              <w:rPr>
                <w:rFonts w:hint="eastAsia" w:ascii="宋体" w:hAnsi="宋体" w:cs="宋体"/>
                <w:b/>
                <w:bCs/>
                <w:color w:val="auto"/>
                <w:sz w:val="22"/>
                <w:highlight w:val="none"/>
              </w:rPr>
              <w:t>商务偏离表（附件</w:t>
            </w:r>
            <w:r>
              <w:rPr>
                <w:rFonts w:hint="eastAsia" w:ascii="宋体" w:hAnsi="宋体" w:cs="宋体"/>
                <w:b/>
                <w:bCs/>
                <w:color w:val="auto"/>
                <w:sz w:val="22"/>
                <w:highlight w:val="none"/>
                <w:lang w:val="en-US" w:eastAsia="zh-CN"/>
              </w:rPr>
              <w:t>十三</w:t>
            </w:r>
            <w:r>
              <w:rPr>
                <w:rFonts w:hint="eastAsia" w:ascii="宋体" w:hAnsi="宋体" w:cs="宋体"/>
                <w:b/>
                <w:bCs/>
                <w:color w:val="auto"/>
                <w:sz w:val="22"/>
                <w:highlight w:val="none"/>
              </w:rPr>
              <w:t>（一））、技术偏离表（附件</w:t>
            </w:r>
            <w:r>
              <w:rPr>
                <w:rFonts w:hint="eastAsia" w:ascii="宋体" w:hAnsi="宋体" w:cs="宋体"/>
                <w:b/>
                <w:bCs/>
                <w:color w:val="auto"/>
                <w:sz w:val="22"/>
                <w:highlight w:val="none"/>
                <w:lang w:val="en-US" w:eastAsia="zh-CN"/>
              </w:rPr>
              <w:t>十三</w:t>
            </w:r>
            <w:r>
              <w:rPr>
                <w:rFonts w:hint="eastAsia" w:ascii="宋体" w:hAnsi="宋体" w:cs="宋体"/>
                <w:b/>
                <w:bCs/>
                <w:color w:val="auto"/>
                <w:sz w:val="22"/>
                <w:highlight w:val="none"/>
              </w:rPr>
              <w:t>（二））</w:t>
            </w:r>
          </w:p>
        </w:tc>
      </w:tr>
      <w:tr w14:paraId="0A44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05" w:type="dxa"/>
            <w:noWrap w:val="0"/>
            <w:vAlign w:val="top"/>
          </w:tcPr>
          <w:p w14:paraId="2B308960">
            <w:pPr>
              <w:numPr>
                <w:ilvl w:val="0"/>
                <w:numId w:val="5"/>
              </w:numPr>
              <w:tabs>
                <w:tab w:val="left" w:pos="1069"/>
                <w:tab w:val="left" w:pos="2352"/>
              </w:tabs>
              <w:autoSpaceDE w:val="0"/>
              <w:autoSpaceDN w:val="0"/>
              <w:adjustRightInd w:val="0"/>
              <w:snapToGrid w:val="0"/>
              <w:spacing w:line="430" w:lineRule="atLeast"/>
              <w:ind w:left="425" w:leftChars="0" w:hanging="425" w:firstLineChars="0"/>
              <w:rPr>
                <w:rFonts w:ascii="宋体" w:hAnsi="宋体" w:cs="宋体"/>
                <w:color w:val="auto"/>
                <w:sz w:val="22"/>
                <w:highlight w:val="none"/>
                <w:lang w:val="zh-CN"/>
              </w:rPr>
            </w:pPr>
          </w:p>
        </w:tc>
        <w:tc>
          <w:tcPr>
            <w:tcW w:w="8715" w:type="dxa"/>
            <w:noWrap w:val="0"/>
            <w:vAlign w:val="top"/>
          </w:tcPr>
          <w:p w14:paraId="08BDB6D6">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rPr>
            </w:pPr>
            <w:r>
              <w:rPr>
                <w:rFonts w:hint="eastAsia" w:ascii="宋体" w:hAnsi="宋体" w:cs="宋体"/>
                <w:b/>
                <w:bCs/>
                <w:color w:val="auto"/>
                <w:sz w:val="22"/>
                <w:highlight w:val="none"/>
              </w:rPr>
              <w:t>项目实施方案</w:t>
            </w:r>
          </w:p>
        </w:tc>
      </w:tr>
      <w:tr w14:paraId="148E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top"/>
          </w:tcPr>
          <w:p w14:paraId="6D6C0571">
            <w:pPr>
              <w:numPr>
                <w:ilvl w:val="0"/>
                <w:numId w:val="5"/>
              </w:numPr>
              <w:tabs>
                <w:tab w:val="left" w:pos="1069"/>
                <w:tab w:val="left" w:pos="2352"/>
              </w:tabs>
              <w:autoSpaceDE w:val="0"/>
              <w:autoSpaceDN w:val="0"/>
              <w:adjustRightInd w:val="0"/>
              <w:snapToGrid w:val="0"/>
              <w:spacing w:line="430" w:lineRule="atLeast"/>
              <w:ind w:left="425" w:leftChars="0" w:hanging="425" w:firstLineChars="0"/>
              <w:rPr>
                <w:rFonts w:ascii="宋体" w:hAnsi="宋体" w:cs="宋体"/>
                <w:color w:val="auto"/>
                <w:sz w:val="22"/>
                <w:highlight w:val="none"/>
                <w:lang w:val="zh-CN"/>
              </w:rPr>
            </w:pPr>
          </w:p>
        </w:tc>
        <w:tc>
          <w:tcPr>
            <w:tcW w:w="8715" w:type="dxa"/>
            <w:noWrap w:val="0"/>
            <w:vAlign w:val="top"/>
          </w:tcPr>
          <w:p w14:paraId="7D030034">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rPr>
            </w:pPr>
            <w:r>
              <w:rPr>
                <w:rFonts w:hint="eastAsia" w:ascii="宋体" w:hAnsi="宋体" w:cs="宋体"/>
                <w:b/>
                <w:bCs/>
                <w:color w:val="auto"/>
                <w:sz w:val="22"/>
                <w:highlight w:val="none"/>
              </w:rPr>
              <w:t>供应商项目服务人员汇总表（附件十</w:t>
            </w:r>
            <w:r>
              <w:rPr>
                <w:rFonts w:hint="eastAsia" w:ascii="宋体" w:hAnsi="宋体" w:cs="宋体"/>
                <w:b/>
                <w:bCs/>
                <w:color w:val="auto"/>
                <w:sz w:val="22"/>
                <w:highlight w:val="none"/>
                <w:lang w:val="en-US" w:eastAsia="zh-CN"/>
              </w:rPr>
              <w:t>四</w:t>
            </w:r>
            <w:r>
              <w:rPr>
                <w:rFonts w:hint="eastAsia" w:ascii="宋体" w:hAnsi="宋体" w:cs="宋体"/>
                <w:b/>
                <w:bCs/>
                <w:color w:val="auto"/>
                <w:sz w:val="22"/>
                <w:highlight w:val="none"/>
              </w:rPr>
              <w:t>）；</w:t>
            </w:r>
          </w:p>
        </w:tc>
      </w:tr>
      <w:tr w14:paraId="184B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top"/>
          </w:tcPr>
          <w:p w14:paraId="39724D9D">
            <w:pPr>
              <w:numPr>
                <w:ilvl w:val="0"/>
                <w:numId w:val="5"/>
              </w:numPr>
              <w:tabs>
                <w:tab w:val="left" w:pos="1069"/>
                <w:tab w:val="left" w:pos="2352"/>
              </w:tabs>
              <w:autoSpaceDE w:val="0"/>
              <w:autoSpaceDN w:val="0"/>
              <w:adjustRightInd w:val="0"/>
              <w:snapToGrid w:val="0"/>
              <w:spacing w:line="430" w:lineRule="atLeast"/>
              <w:ind w:left="425" w:leftChars="0" w:hanging="425" w:firstLineChars="0"/>
              <w:rPr>
                <w:rFonts w:ascii="宋体" w:hAnsi="宋体" w:cs="宋体"/>
                <w:color w:val="auto"/>
                <w:sz w:val="22"/>
                <w:highlight w:val="none"/>
                <w:lang w:val="zh-CN"/>
              </w:rPr>
            </w:pPr>
          </w:p>
        </w:tc>
        <w:tc>
          <w:tcPr>
            <w:tcW w:w="8715" w:type="dxa"/>
            <w:noWrap w:val="0"/>
            <w:vAlign w:val="top"/>
          </w:tcPr>
          <w:p w14:paraId="25A604AC">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距离采购人最近的服务机构的详细介绍、服务机构总负责人，电话，地址，技术力量配置等；</w:t>
            </w:r>
          </w:p>
        </w:tc>
      </w:tr>
      <w:tr w14:paraId="124F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top"/>
          </w:tcPr>
          <w:p w14:paraId="0BC3371B">
            <w:pPr>
              <w:numPr>
                <w:ilvl w:val="0"/>
                <w:numId w:val="5"/>
              </w:numPr>
              <w:tabs>
                <w:tab w:val="left" w:pos="1069"/>
                <w:tab w:val="left" w:pos="2352"/>
              </w:tabs>
              <w:autoSpaceDE w:val="0"/>
              <w:autoSpaceDN w:val="0"/>
              <w:adjustRightInd w:val="0"/>
              <w:snapToGrid w:val="0"/>
              <w:spacing w:line="430" w:lineRule="atLeast"/>
              <w:ind w:left="425" w:leftChars="0" w:hanging="425" w:firstLineChars="0"/>
              <w:rPr>
                <w:rFonts w:ascii="宋体" w:hAnsi="宋体" w:cs="宋体"/>
                <w:color w:val="auto"/>
                <w:sz w:val="22"/>
                <w:highlight w:val="none"/>
                <w:lang w:val="zh-CN"/>
              </w:rPr>
            </w:pPr>
          </w:p>
        </w:tc>
        <w:tc>
          <w:tcPr>
            <w:tcW w:w="8715" w:type="dxa"/>
            <w:noWrap w:val="0"/>
            <w:vAlign w:val="top"/>
          </w:tcPr>
          <w:p w14:paraId="42AC54EB">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供应商质量体系认证证书、供应商环境体系认证证书、供应商职业健康体系认证证书（（如有则提供）</w:t>
            </w:r>
          </w:p>
        </w:tc>
      </w:tr>
      <w:tr w14:paraId="7C32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top"/>
          </w:tcPr>
          <w:p w14:paraId="3A5F302F">
            <w:pPr>
              <w:numPr>
                <w:ilvl w:val="0"/>
                <w:numId w:val="5"/>
              </w:numPr>
              <w:tabs>
                <w:tab w:val="left" w:pos="1069"/>
                <w:tab w:val="left" w:pos="2352"/>
              </w:tabs>
              <w:autoSpaceDE w:val="0"/>
              <w:autoSpaceDN w:val="0"/>
              <w:adjustRightInd w:val="0"/>
              <w:snapToGrid w:val="0"/>
              <w:spacing w:line="430" w:lineRule="atLeast"/>
              <w:ind w:left="425" w:leftChars="0" w:hanging="425" w:firstLineChars="0"/>
              <w:rPr>
                <w:rFonts w:ascii="宋体" w:hAnsi="宋体" w:cs="宋体"/>
                <w:color w:val="auto"/>
                <w:sz w:val="22"/>
                <w:highlight w:val="none"/>
                <w:lang w:val="zh-CN"/>
              </w:rPr>
            </w:pPr>
          </w:p>
        </w:tc>
        <w:tc>
          <w:tcPr>
            <w:tcW w:w="8715" w:type="dxa"/>
            <w:noWrap w:val="0"/>
            <w:vAlign w:val="center"/>
          </w:tcPr>
          <w:p w14:paraId="55EF436D">
            <w:pPr>
              <w:tabs>
                <w:tab w:val="left" w:pos="1069"/>
                <w:tab w:val="left" w:pos="2352"/>
              </w:tabs>
              <w:autoSpaceDE w:val="0"/>
              <w:autoSpaceDN w:val="0"/>
              <w:adjustRightInd w:val="0"/>
              <w:snapToGrid w:val="0"/>
              <w:spacing w:line="430" w:lineRule="atLeast"/>
              <w:jc w:val="left"/>
              <w:rPr>
                <w:rFonts w:ascii="宋体" w:hAnsi="宋体" w:cs="宋体"/>
                <w:color w:val="auto"/>
                <w:sz w:val="22"/>
                <w:highlight w:val="none"/>
              </w:rPr>
            </w:pPr>
            <w:r>
              <w:rPr>
                <w:rFonts w:hint="eastAsia" w:ascii="宋体" w:hAnsi="宋体" w:cs="宋体"/>
                <w:color w:val="auto"/>
                <w:sz w:val="22"/>
                <w:highlight w:val="none"/>
              </w:rPr>
              <w:t>供应商项目业绩清单，如有（附件十</w:t>
            </w:r>
            <w:r>
              <w:rPr>
                <w:rFonts w:hint="eastAsia" w:ascii="宋体" w:hAnsi="宋体" w:cs="宋体"/>
                <w:color w:val="auto"/>
                <w:sz w:val="22"/>
                <w:highlight w:val="none"/>
                <w:lang w:val="en-US" w:eastAsia="zh-CN"/>
              </w:rPr>
              <w:t>五</w:t>
            </w:r>
            <w:r>
              <w:rPr>
                <w:rFonts w:hint="eastAsia" w:ascii="宋体" w:hAnsi="宋体" w:cs="宋体"/>
                <w:color w:val="auto"/>
                <w:sz w:val="22"/>
                <w:highlight w:val="none"/>
              </w:rPr>
              <w:t>）</w:t>
            </w:r>
          </w:p>
        </w:tc>
      </w:tr>
      <w:tr w14:paraId="79D5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top"/>
          </w:tcPr>
          <w:p w14:paraId="16D50CE0">
            <w:pPr>
              <w:numPr>
                <w:ilvl w:val="0"/>
                <w:numId w:val="5"/>
              </w:numPr>
              <w:tabs>
                <w:tab w:val="left" w:pos="1069"/>
                <w:tab w:val="left" w:pos="2352"/>
              </w:tabs>
              <w:autoSpaceDE w:val="0"/>
              <w:autoSpaceDN w:val="0"/>
              <w:adjustRightInd w:val="0"/>
              <w:snapToGrid w:val="0"/>
              <w:spacing w:line="430" w:lineRule="atLeast"/>
              <w:ind w:left="425" w:leftChars="0" w:hanging="425" w:firstLineChars="0"/>
              <w:rPr>
                <w:rFonts w:ascii="宋体" w:hAnsi="宋体" w:cs="宋体"/>
                <w:color w:val="auto"/>
                <w:sz w:val="22"/>
                <w:highlight w:val="none"/>
                <w:lang w:val="zh-CN"/>
              </w:rPr>
            </w:pPr>
          </w:p>
        </w:tc>
        <w:tc>
          <w:tcPr>
            <w:tcW w:w="8715" w:type="dxa"/>
            <w:noWrap w:val="0"/>
            <w:vAlign w:val="center"/>
          </w:tcPr>
          <w:p w14:paraId="619DE5DE">
            <w:pPr>
              <w:tabs>
                <w:tab w:val="left" w:pos="1069"/>
                <w:tab w:val="left" w:pos="2352"/>
              </w:tabs>
              <w:autoSpaceDE w:val="0"/>
              <w:autoSpaceDN w:val="0"/>
              <w:adjustRightInd w:val="0"/>
              <w:snapToGrid w:val="0"/>
              <w:spacing w:line="430" w:lineRule="atLeast"/>
              <w:jc w:val="left"/>
              <w:rPr>
                <w:rFonts w:ascii="宋体" w:hAnsi="宋体" w:cs="宋体"/>
                <w:color w:val="auto"/>
                <w:sz w:val="22"/>
                <w:highlight w:val="none"/>
              </w:rPr>
            </w:pPr>
            <w:r>
              <w:rPr>
                <w:rFonts w:hint="eastAsia" w:ascii="宋体" w:hAnsi="宋体" w:cs="宋体"/>
                <w:color w:val="auto"/>
                <w:sz w:val="22"/>
                <w:highlight w:val="none"/>
              </w:rPr>
              <w:t>供应商具有的其它相关资质证书（如有则提供）</w:t>
            </w:r>
          </w:p>
        </w:tc>
      </w:tr>
      <w:tr w14:paraId="4C5A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top"/>
          </w:tcPr>
          <w:p w14:paraId="159F4E0E">
            <w:pPr>
              <w:numPr>
                <w:ilvl w:val="0"/>
                <w:numId w:val="5"/>
              </w:numPr>
              <w:tabs>
                <w:tab w:val="left" w:pos="1069"/>
                <w:tab w:val="left" w:pos="2352"/>
              </w:tabs>
              <w:autoSpaceDE w:val="0"/>
              <w:autoSpaceDN w:val="0"/>
              <w:adjustRightInd w:val="0"/>
              <w:snapToGrid w:val="0"/>
              <w:spacing w:line="430" w:lineRule="atLeast"/>
              <w:ind w:left="425" w:leftChars="0" w:hanging="425" w:firstLineChars="0"/>
              <w:rPr>
                <w:rFonts w:ascii="宋体" w:hAnsi="宋体" w:cs="宋体"/>
                <w:color w:val="auto"/>
                <w:sz w:val="22"/>
                <w:highlight w:val="none"/>
                <w:lang w:val="zh-CN"/>
              </w:rPr>
            </w:pPr>
          </w:p>
        </w:tc>
        <w:tc>
          <w:tcPr>
            <w:tcW w:w="8715" w:type="dxa"/>
            <w:noWrap w:val="0"/>
            <w:vAlign w:val="top"/>
          </w:tcPr>
          <w:p w14:paraId="489C378A">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根据</w:t>
            </w:r>
            <w:r>
              <w:rPr>
                <w:rFonts w:hint="eastAsia" w:ascii="宋体" w:hAnsi="宋体" w:cs="宋体"/>
                <w:color w:val="auto"/>
                <w:sz w:val="22"/>
                <w:highlight w:val="none"/>
                <w:lang w:eastAsia="zh-CN"/>
              </w:rPr>
              <w:t>招标文件</w:t>
            </w:r>
            <w:r>
              <w:rPr>
                <w:rFonts w:hint="eastAsia" w:ascii="宋体" w:hAnsi="宋体" w:cs="宋体"/>
                <w:color w:val="auto"/>
                <w:sz w:val="22"/>
                <w:highlight w:val="none"/>
              </w:rPr>
              <w:t>中的采购内容与技术要求、评标细则，需要提供的其它文件和资料。</w:t>
            </w:r>
          </w:p>
        </w:tc>
      </w:tr>
      <w:tr w14:paraId="2F701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top"/>
          </w:tcPr>
          <w:p w14:paraId="04565B69">
            <w:pPr>
              <w:numPr>
                <w:ilvl w:val="0"/>
                <w:numId w:val="5"/>
              </w:numPr>
              <w:tabs>
                <w:tab w:val="left" w:pos="1069"/>
                <w:tab w:val="left" w:pos="2352"/>
              </w:tabs>
              <w:autoSpaceDE w:val="0"/>
              <w:autoSpaceDN w:val="0"/>
              <w:adjustRightInd w:val="0"/>
              <w:snapToGrid w:val="0"/>
              <w:spacing w:line="430" w:lineRule="atLeast"/>
              <w:ind w:left="425" w:leftChars="0" w:hanging="425" w:firstLineChars="0"/>
              <w:rPr>
                <w:rFonts w:ascii="宋体" w:hAnsi="宋体" w:cs="宋体"/>
                <w:color w:val="auto"/>
                <w:sz w:val="22"/>
                <w:highlight w:val="none"/>
                <w:lang w:val="zh-CN"/>
              </w:rPr>
            </w:pPr>
          </w:p>
        </w:tc>
        <w:tc>
          <w:tcPr>
            <w:tcW w:w="8715" w:type="dxa"/>
            <w:noWrap w:val="0"/>
            <w:vAlign w:val="top"/>
          </w:tcPr>
          <w:p w14:paraId="6BA0354C">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其它供应商须说明的资料（如有则提供）</w:t>
            </w:r>
          </w:p>
        </w:tc>
      </w:tr>
      <w:tr w14:paraId="3F60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top"/>
          </w:tcPr>
          <w:p w14:paraId="00601973">
            <w:pPr>
              <w:numPr>
                <w:ilvl w:val="0"/>
                <w:numId w:val="5"/>
              </w:numPr>
              <w:tabs>
                <w:tab w:val="left" w:pos="1069"/>
                <w:tab w:val="left" w:pos="2352"/>
              </w:tabs>
              <w:autoSpaceDE w:val="0"/>
              <w:autoSpaceDN w:val="0"/>
              <w:adjustRightInd w:val="0"/>
              <w:snapToGrid w:val="0"/>
              <w:spacing w:line="430" w:lineRule="atLeast"/>
              <w:ind w:left="425" w:leftChars="0" w:hanging="425" w:firstLineChars="0"/>
              <w:rPr>
                <w:rFonts w:ascii="宋体" w:hAnsi="宋体" w:cs="宋体"/>
                <w:color w:val="auto"/>
                <w:sz w:val="22"/>
                <w:highlight w:val="none"/>
                <w:lang w:val="zh-CN"/>
              </w:rPr>
            </w:pPr>
          </w:p>
        </w:tc>
        <w:tc>
          <w:tcPr>
            <w:tcW w:w="8715" w:type="dxa"/>
            <w:noWrap w:val="0"/>
            <w:vAlign w:val="top"/>
          </w:tcPr>
          <w:p w14:paraId="5247F5B6">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供应商应编制目录索引，注明项目所在投标文件页码。</w:t>
            </w:r>
          </w:p>
        </w:tc>
      </w:tr>
    </w:tbl>
    <w:p w14:paraId="5C84AE5E">
      <w:pPr>
        <w:pStyle w:val="14"/>
        <w:rPr>
          <w:rFonts w:hint="eastAsia"/>
        </w:rPr>
      </w:pPr>
    </w:p>
    <w:p w14:paraId="615617A7">
      <w:pPr>
        <w:autoSpaceDE w:val="0"/>
        <w:autoSpaceDN w:val="0"/>
        <w:adjustRightInd w:val="0"/>
        <w:spacing w:line="400" w:lineRule="exact"/>
        <w:ind w:firstLine="440" w:firstLineChars="200"/>
        <w:textAlignment w:val="bottom"/>
        <w:rPr>
          <w:rFonts w:hint="eastAsia" w:ascii="宋体" w:hAnsi="宋体" w:cs="Arial"/>
          <w:color w:val="auto"/>
          <w:sz w:val="22"/>
          <w:highlight w:val="none"/>
        </w:rPr>
      </w:pPr>
      <w:r>
        <w:rPr>
          <w:rFonts w:hint="eastAsia" w:ascii="宋体" w:hAnsi="宋体" w:cs="Arial"/>
          <w:color w:val="auto"/>
          <w:sz w:val="22"/>
          <w:highlight w:val="none"/>
        </w:rPr>
        <w:t>3、投标内容填写说明</w:t>
      </w:r>
    </w:p>
    <w:p w14:paraId="703DABC3">
      <w:pPr>
        <w:autoSpaceDE w:val="0"/>
        <w:autoSpaceDN w:val="0"/>
        <w:adjustRightInd w:val="0"/>
        <w:spacing w:line="400" w:lineRule="exact"/>
        <w:ind w:firstLine="440" w:firstLineChars="200"/>
        <w:textAlignment w:val="bottom"/>
        <w:rPr>
          <w:rFonts w:hint="eastAsia" w:ascii="宋体" w:hAnsi="宋体" w:cs="Arial"/>
          <w:color w:val="auto"/>
          <w:sz w:val="22"/>
          <w:highlight w:val="none"/>
        </w:rPr>
      </w:pPr>
      <w:r>
        <w:rPr>
          <w:rFonts w:hint="eastAsia" w:ascii="宋体" w:hAnsi="宋体" w:cs="Arial"/>
          <w:color w:val="auto"/>
          <w:sz w:val="22"/>
          <w:highlight w:val="none"/>
        </w:rPr>
        <w:t>3.1、投标文件格式</w:t>
      </w:r>
    </w:p>
    <w:p w14:paraId="6D9489C8">
      <w:pPr>
        <w:autoSpaceDE w:val="0"/>
        <w:autoSpaceDN w:val="0"/>
        <w:adjustRightInd w:val="0"/>
        <w:snapToGrid w:val="0"/>
        <w:spacing w:line="400" w:lineRule="exact"/>
        <w:ind w:firstLine="420"/>
        <w:textAlignment w:val="bottom"/>
        <w:rPr>
          <w:rFonts w:hint="eastAsia" w:ascii="宋体" w:hAnsi="宋体" w:cs="Arial"/>
          <w:color w:val="auto"/>
          <w:sz w:val="22"/>
          <w:highlight w:val="none"/>
        </w:rPr>
      </w:pPr>
      <w:r>
        <w:rPr>
          <w:rFonts w:hint="eastAsia" w:ascii="宋体" w:hAnsi="宋体" w:cs="Arial"/>
          <w:color w:val="auto"/>
          <w:sz w:val="22"/>
          <w:highlight w:val="none"/>
        </w:rPr>
        <w:t>供应商应按照第三部分第三款第2条所列出的内容及格式逐一按顺序组成投标文件。</w:t>
      </w:r>
    </w:p>
    <w:p w14:paraId="364C0558">
      <w:pPr>
        <w:autoSpaceDE w:val="0"/>
        <w:autoSpaceDN w:val="0"/>
        <w:adjustRightInd w:val="0"/>
        <w:snapToGrid w:val="0"/>
        <w:spacing w:line="400" w:lineRule="exact"/>
        <w:ind w:firstLine="420"/>
        <w:textAlignment w:val="bottom"/>
        <w:rPr>
          <w:rFonts w:hint="eastAsia" w:ascii="宋体" w:hAnsi="宋体" w:cs="宋体"/>
          <w:color w:val="auto"/>
          <w:sz w:val="22"/>
          <w:highlight w:val="none"/>
        </w:rPr>
      </w:pPr>
      <w:r>
        <w:rPr>
          <w:rFonts w:hint="eastAsia" w:ascii="宋体" w:hAnsi="宋体"/>
          <w:color w:val="auto"/>
          <w:sz w:val="22"/>
          <w:highlight w:val="none"/>
        </w:rPr>
        <w:t>4、投标报价</w:t>
      </w:r>
    </w:p>
    <w:p w14:paraId="0704E296">
      <w:pPr>
        <w:autoSpaceDE w:val="0"/>
        <w:autoSpaceDN w:val="0"/>
        <w:adjustRightInd w:val="0"/>
        <w:spacing w:line="400" w:lineRule="exact"/>
        <w:ind w:firstLine="440" w:firstLineChars="200"/>
        <w:textAlignment w:val="bottom"/>
        <w:rPr>
          <w:rFonts w:hint="eastAsia" w:ascii="宋体" w:hAnsi="宋体"/>
          <w:color w:val="auto"/>
          <w:sz w:val="22"/>
          <w:highlight w:val="none"/>
        </w:rPr>
      </w:pPr>
      <w:r>
        <w:rPr>
          <w:rFonts w:hint="eastAsia" w:ascii="宋体" w:hAnsi="宋体"/>
          <w:color w:val="auto"/>
          <w:sz w:val="22"/>
          <w:highlight w:val="none"/>
        </w:rPr>
        <w:t>4.1、供应商应按招标文件中《报价一览表》填写投标报价。</w:t>
      </w:r>
    </w:p>
    <w:p w14:paraId="4D6CEA4B">
      <w:pPr>
        <w:autoSpaceDE w:val="0"/>
        <w:autoSpaceDN w:val="0"/>
        <w:adjustRightInd w:val="0"/>
        <w:spacing w:line="400" w:lineRule="exact"/>
        <w:ind w:firstLine="440" w:firstLineChars="200"/>
        <w:textAlignment w:val="bottom"/>
        <w:rPr>
          <w:rFonts w:hint="eastAsia" w:ascii="宋体" w:hAnsi="宋体"/>
          <w:color w:val="auto"/>
          <w:sz w:val="22"/>
          <w:highlight w:val="none"/>
        </w:rPr>
      </w:pPr>
      <w:r>
        <w:rPr>
          <w:rFonts w:hint="eastAsia" w:ascii="宋体" w:hAnsi="宋体"/>
          <w:color w:val="auto"/>
          <w:sz w:val="22"/>
          <w:highlight w:val="none"/>
        </w:rPr>
        <w:t>4.2、本次招标只允许有一个报价，有选择的报价将不予接受。</w:t>
      </w:r>
    </w:p>
    <w:p w14:paraId="5C288D5D">
      <w:pPr>
        <w:autoSpaceDE w:val="0"/>
        <w:autoSpaceDN w:val="0"/>
        <w:adjustRightInd w:val="0"/>
        <w:spacing w:line="400" w:lineRule="exact"/>
        <w:ind w:firstLine="440" w:firstLineChars="200"/>
        <w:textAlignment w:val="bottom"/>
        <w:rPr>
          <w:rFonts w:hint="eastAsia" w:ascii="宋体" w:hAnsi="宋体"/>
          <w:color w:val="auto"/>
          <w:sz w:val="22"/>
          <w:highlight w:val="none"/>
        </w:rPr>
      </w:pPr>
      <w:r>
        <w:rPr>
          <w:rFonts w:hint="eastAsia" w:ascii="宋体" w:hAnsi="宋体"/>
          <w:color w:val="auto"/>
          <w:sz w:val="22"/>
          <w:highlight w:val="none"/>
        </w:rPr>
        <w:t>4.3、报价为合同约定的全部费用。供应商应在各自技术和商务占优势的基础上并充分考虑本项目的重要性，提供对采购单位最优惠的报价。</w:t>
      </w:r>
    </w:p>
    <w:p w14:paraId="0021CD05">
      <w:pPr>
        <w:autoSpaceDE w:val="0"/>
        <w:autoSpaceDN w:val="0"/>
        <w:adjustRightInd w:val="0"/>
        <w:spacing w:line="460" w:lineRule="atLeast"/>
        <w:ind w:firstLine="440" w:firstLineChars="200"/>
        <w:textAlignment w:val="bottom"/>
        <w:rPr>
          <w:rFonts w:hint="eastAsia" w:ascii="宋体" w:hAnsi="宋体"/>
          <w:color w:val="auto"/>
          <w:sz w:val="22"/>
          <w:highlight w:val="none"/>
        </w:rPr>
      </w:pPr>
      <w:r>
        <w:rPr>
          <w:rFonts w:hint="eastAsia" w:ascii="宋体" w:hAnsi="宋体"/>
          <w:color w:val="auto"/>
          <w:sz w:val="22"/>
          <w:highlight w:val="none"/>
        </w:rPr>
        <w:t>4.4、供应商在投标报价中应充分考虑所有可能发生的费用，否则采购单位将视投标总价中已包括所有费用。</w:t>
      </w:r>
    </w:p>
    <w:p w14:paraId="7C5174F0">
      <w:pPr>
        <w:autoSpaceDE w:val="0"/>
        <w:autoSpaceDN w:val="0"/>
        <w:adjustRightInd w:val="0"/>
        <w:spacing w:line="460" w:lineRule="atLeast"/>
        <w:ind w:firstLine="440" w:firstLineChars="200"/>
        <w:textAlignment w:val="bottom"/>
        <w:rPr>
          <w:rFonts w:hint="eastAsia" w:ascii="宋体" w:hAnsi="宋体"/>
          <w:color w:val="auto"/>
          <w:sz w:val="22"/>
          <w:highlight w:val="none"/>
        </w:rPr>
      </w:pPr>
      <w:r>
        <w:rPr>
          <w:rFonts w:hint="eastAsia" w:ascii="宋体" w:hAnsi="宋体"/>
          <w:color w:val="auto"/>
          <w:sz w:val="22"/>
          <w:highlight w:val="none"/>
        </w:rPr>
        <w:t>4.5投标供应商对在合同执行中，除上述费用及招标文件规定的由中标供应商负责的工作范围以外需要采购单位协调或提供便利的工作应当在投标文件中说明。</w:t>
      </w:r>
    </w:p>
    <w:p w14:paraId="4A0541CC">
      <w:pPr>
        <w:autoSpaceDE w:val="0"/>
        <w:autoSpaceDN w:val="0"/>
        <w:adjustRightInd w:val="0"/>
        <w:spacing w:line="460" w:lineRule="atLeast"/>
        <w:ind w:firstLine="440" w:firstLineChars="200"/>
        <w:textAlignment w:val="bottom"/>
        <w:rPr>
          <w:rFonts w:hint="eastAsia" w:ascii="宋体" w:hAnsi="宋体"/>
          <w:color w:val="auto"/>
          <w:sz w:val="22"/>
          <w:highlight w:val="none"/>
        </w:rPr>
      </w:pPr>
      <w:r>
        <w:rPr>
          <w:rFonts w:hint="eastAsia" w:ascii="宋体" w:hAnsi="宋体"/>
          <w:color w:val="auto"/>
          <w:sz w:val="22"/>
          <w:highlight w:val="none"/>
        </w:rPr>
        <w:t>4.6填写报价表格时，各项费用应如实填写。</w:t>
      </w:r>
    </w:p>
    <w:p w14:paraId="368C1E57">
      <w:pPr>
        <w:autoSpaceDE w:val="0"/>
        <w:autoSpaceDN w:val="0"/>
        <w:adjustRightInd w:val="0"/>
        <w:spacing w:line="400" w:lineRule="exact"/>
        <w:ind w:firstLine="440" w:firstLineChars="200"/>
        <w:textAlignment w:val="bottom"/>
        <w:rPr>
          <w:rFonts w:hint="eastAsia" w:ascii="宋体" w:hAnsi="宋体"/>
          <w:color w:val="auto"/>
          <w:sz w:val="22"/>
          <w:highlight w:val="none"/>
        </w:rPr>
      </w:pPr>
      <w:r>
        <w:rPr>
          <w:rFonts w:hint="eastAsia" w:ascii="宋体" w:hAnsi="宋体"/>
          <w:color w:val="auto"/>
          <w:sz w:val="22"/>
          <w:highlight w:val="none"/>
        </w:rPr>
        <w:t>5、在任何情况下不限制采购单位以其认为最合适的条款签订合同的权利。</w:t>
      </w:r>
    </w:p>
    <w:p w14:paraId="3D13442B">
      <w:pPr>
        <w:autoSpaceDE w:val="0"/>
        <w:autoSpaceDN w:val="0"/>
        <w:adjustRightInd w:val="0"/>
        <w:spacing w:line="400" w:lineRule="exact"/>
        <w:ind w:firstLine="440" w:firstLineChars="200"/>
        <w:textAlignment w:val="bottom"/>
        <w:rPr>
          <w:rFonts w:hint="eastAsia" w:ascii="宋体" w:hAnsi="宋体"/>
          <w:color w:val="auto"/>
          <w:sz w:val="22"/>
          <w:highlight w:val="none"/>
        </w:rPr>
      </w:pPr>
      <w:r>
        <w:rPr>
          <w:rFonts w:hint="eastAsia" w:ascii="宋体" w:hAnsi="宋体"/>
          <w:color w:val="auto"/>
          <w:sz w:val="22"/>
          <w:highlight w:val="none"/>
        </w:rPr>
        <w:t>6、投标文件的有效期</w:t>
      </w:r>
    </w:p>
    <w:p w14:paraId="4D233029">
      <w:pPr>
        <w:autoSpaceDE w:val="0"/>
        <w:autoSpaceDN w:val="0"/>
        <w:adjustRightInd w:val="0"/>
        <w:spacing w:line="400" w:lineRule="exact"/>
        <w:ind w:firstLine="440" w:firstLineChars="200"/>
        <w:textAlignment w:val="bottom"/>
        <w:rPr>
          <w:rFonts w:hint="eastAsia" w:ascii="宋体" w:hAnsi="宋体"/>
          <w:color w:val="auto"/>
          <w:sz w:val="22"/>
          <w:highlight w:val="none"/>
        </w:rPr>
      </w:pPr>
      <w:r>
        <w:rPr>
          <w:rFonts w:hint="eastAsia" w:ascii="宋体" w:hAnsi="宋体"/>
          <w:color w:val="auto"/>
          <w:sz w:val="22"/>
          <w:highlight w:val="none"/>
        </w:rPr>
        <w:t>6.1自报价截止时间起90天内，投标文件应保持有效。有效期短于这个规定期限的报价将被拒绝。</w:t>
      </w:r>
    </w:p>
    <w:p w14:paraId="3943D1A3">
      <w:pPr>
        <w:autoSpaceDE w:val="0"/>
        <w:autoSpaceDN w:val="0"/>
        <w:adjustRightInd w:val="0"/>
        <w:spacing w:line="400" w:lineRule="exact"/>
        <w:ind w:firstLine="440" w:firstLineChars="200"/>
        <w:textAlignment w:val="bottom"/>
        <w:rPr>
          <w:rFonts w:hint="eastAsia" w:ascii="宋体" w:hAnsi="宋体"/>
          <w:color w:val="auto"/>
          <w:sz w:val="22"/>
          <w:highlight w:val="none"/>
        </w:rPr>
      </w:pPr>
      <w:r>
        <w:rPr>
          <w:rFonts w:hint="eastAsia" w:ascii="宋体" w:hAnsi="宋体"/>
          <w:color w:val="auto"/>
          <w:sz w:val="22"/>
          <w:highlight w:val="none"/>
        </w:rPr>
        <w:t>6.2在特殊情况下，采购单位可与供应商协商延长投标文件的有效期，这种要求和答复均应以书面形式进行。</w:t>
      </w:r>
    </w:p>
    <w:p w14:paraId="56648F4B">
      <w:pPr>
        <w:autoSpaceDE w:val="0"/>
        <w:autoSpaceDN w:val="0"/>
        <w:adjustRightInd w:val="0"/>
        <w:spacing w:line="400" w:lineRule="exact"/>
        <w:ind w:firstLine="440" w:firstLineChars="200"/>
        <w:textAlignment w:val="bottom"/>
        <w:rPr>
          <w:rFonts w:hint="eastAsia" w:ascii="宋体" w:hAnsi="宋体"/>
          <w:color w:val="auto"/>
          <w:sz w:val="22"/>
          <w:highlight w:val="none"/>
        </w:rPr>
      </w:pPr>
      <w:r>
        <w:rPr>
          <w:rFonts w:hint="eastAsia" w:ascii="宋体" w:hAnsi="宋体"/>
          <w:color w:val="auto"/>
          <w:sz w:val="22"/>
          <w:highlight w:val="none"/>
        </w:rPr>
        <w:t>6.3供应商可拒绝接受延期要求。同意延长有效期的供应商不能修改投标文件。</w:t>
      </w:r>
    </w:p>
    <w:p w14:paraId="23D0BC6E">
      <w:pPr>
        <w:pStyle w:val="19"/>
        <w:adjustRightInd w:val="0"/>
        <w:snapToGrid w:val="0"/>
        <w:spacing w:line="430" w:lineRule="atLeast"/>
        <w:ind w:firstLine="440" w:firstLineChars="200"/>
        <w:rPr>
          <w:rFonts w:hint="eastAsia" w:hAnsi="宋体"/>
          <w:color w:val="auto"/>
          <w:sz w:val="22"/>
          <w:highlight w:val="none"/>
        </w:rPr>
      </w:pPr>
      <w:r>
        <w:rPr>
          <w:rFonts w:hint="eastAsia" w:hAnsi="宋体"/>
          <w:color w:val="auto"/>
          <w:sz w:val="22"/>
          <w:highlight w:val="none"/>
        </w:rPr>
        <w:t>7.投标文件的签署和份数</w:t>
      </w:r>
    </w:p>
    <w:p w14:paraId="7AF13839">
      <w:pPr>
        <w:pStyle w:val="19"/>
        <w:adjustRightInd w:val="0"/>
        <w:snapToGrid w:val="0"/>
        <w:spacing w:line="430" w:lineRule="atLeast"/>
        <w:ind w:firstLine="440" w:firstLineChars="200"/>
        <w:rPr>
          <w:rFonts w:hint="eastAsia" w:hAnsi="宋体"/>
          <w:color w:val="auto"/>
          <w:sz w:val="22"/>
          <w:highlight w:val="none"/>
        </w:rPr>
      </w:pPr>
      <w:r>
        <w:rPr>
          <w:rFonts w:hint="eastAsia" w:hAnsi="宋体"/>
          <w:color w:val="auto"/>
          <w:sz w:val="22"/>
          <w:highlight w:val="none"/>
        </w:rPr>
        <w:t>7.1投标文件的正本需打印或用不退色的墨水填写，并注明“正本”字样。副本可以复印。投标文件不得涂改和增删，如有错漏必须修改，修改处须由同一签署人签字或盖章。由于字迹模糊或表达不清引起的后果由供应商负责。</w:t>
      </w:r>
    </w:p>
    <w:p w14:paraId="16BEAE48">
      <w:pPr>
        <w:pStyle w:val="19"/>
        <w:adjustRightInd w:val="0"/>
        <w:snapToGrid w:val="0"/>
        <w:spacing w:line="430" w:lineRule="atLeast"/>
        <w:ind w:firstLine="440" w:firstLineChars="200"/>
        <w:rPr>
          <w:rFonts w:hint="eastAsia" w:hAnsi="宋体"/>
          <w:color w:val="auto"/>
          <w:sz w:val="22"/>
          <w:highlight w:val="none"/>
        </w:rPr>
      </w:pPr>
      <w:r>
        <w:rPr>
          <w:rFonts w:hint="eastAsia" w:hAnsi="宋体"/>
          <w:color w:val="auto"/>
          <w:sz w:val="22"/>
          <w:highlight w:val="none"/>
        </w:rPr>
        <w:t>7.2投标文件须由供应商盖章并由法定代表人或法定代表人授权代表签署，供应商应写全称。</w:t>
      </w:r>
    </w:p>
    <w:p w14:paraId="1C9144AA">
      <w:pPr>
        <w:pStyle w:val="19"/>
        <w:adjustRightInd w:val="0"/>
        <w:snapToGrid w:val="0"/>
        <w:spacing w:line="430" w:lineRule="atLeast"/>
        <w:ind w:firstLine="440" w:firstLineChars="200"/>
        <w:rPr>
          <w:rFonts w:hint="eastAsia" w:hAnsi="宋体"/>
          <w:color w:val="auto"/>
          <w:sz w:val="22"/>
          <w:highlight w:val="none"/>
        </w:rPr>
      </w:pPr>
      <w:r>
        <w:rPr>
          <w:rFonts w:hint="eastAsia" w:hAnsi="宋体"/>
          <w:color w:val="auto"/>
          <w:sz w:val="22"/>
          <w:highlight w:val="none"/>
        </w:rPr>
        <w:t>7.3投标文件的份数：按招标文件第三部分第四条第 2 款要求提供的各种文件，均提供一式六份，其中正本一份，副本</w:t>
      </w:r>
      <w:r>
        <w:rPr>
          <w:rFonts w:hint="eastAsia" w:hAnsi="宋体"/>
          <w:color w:val="auto"/>
          <w:sz w:val="22"/>
          <w:highlight w:val="none"/>
          <w:lang w:val="en-US" w:eastAsia="zh-CN"/>
        </w:rPr>
        <w:t>四</w:t>
      </w:r>
      <w:r>
        <w:rPr>
          <w:rFonts w:hint="eastAsia" w:hAnsi="宋体"/>
          <w:color w:val="auto"/>
          <w:sz w:val="22"/>
          <w:highlight w:val="none"/>
        </w:rPr>
        <w:t>份。</w:t>
      </w:r>
    </w:p>
    <w:p w14:paraId="44F81B24">
      <w:pPr>
        <w:outlineLvl w:val="1"/>
        <w:rPr>
          <w:rFonts w:hint="eastAsia"/>
          <w:b/>
          <w:bCs/>
          <w:color w:val="auto"/>
          <w:sz w:val="24"/>
          <w:szCs w:val="24"/>
          <w:highlight w:val="none"/>
        </w:rPr>
      </w:pPr>
      <w:r>
        <w:rPr>
          <w:rFonts w:hint="eastAsia"/>
          <w:b/>
          <w:bCs/>
          <w:color w:val="auto"/>
          <w:sz w:val="24"/>
          <w:szCs w:val="24"/>
          <w:highlight w:val="none"/>
        </w:rPr>
        <w:t>四、投标文件的密封与递交</w:t>
      </w:r>
    </w:p>
    <w:p w14:paraId="224F2822">
      <w:pPr>
        <w:pStyle w:val="19"/>
        <w:adjustRightInd w:val="0"/>
        <w:snapToGrid w:val="0"/>
        <w:spacing w:line="430" w:lineRule="atLeast"/>
        <w:ind w:firstLine="440" w:firstLineChars="200"/>
        <w:rPr>
          <w:rFonts w:hint="eastAsia" w:hAnsi="宋体"/>
          <w:color w:val="auto"/>
          <w:sz w:val="22"/>
          <w:szCs w:val="22"/>
          <w:highlight w:val="none"/>
        </w:rPr>
      </w:pPr>
      <w:bookmarkStart w:id="189" w:name="_Toc132123548"/>
      <w:bookmarkEnd w:id="189"/>
      <w:bookmarkStart w:id="190" w:name="_Toc132126155"/>
      <w:bookmarkEnd w:id="190"/>
      <w:bookmarkStart w:id="191" w:name="_Toc132123440"/>
      <w:bookmarkEnd w:id="191"/>
      <w:bookmarkStart w:id="192" w:name="_Toc132125575"/>
      <w:bookmarkEnd w:id="192"/>
      <w:bookmarkStart w:id="193" w:name="_Toc132125096"/>
      <w:bookmarkEnd w:id="193"/>
      <w:bookmarkStart w:id="194" w:name="_Toc132123839"/>
      <w:bookmarkEnd w:id="194"/>
      <w:bookmarkStart w:id="195" w:name="_Toc132655777"/>
      <w:bookmarkEnd w:id="195"/>
      <w:bookmarkStart w:id="196" w:name="_Toc132123882"/>
      <w:bookmarkEnd w:id="196"/>
      <w:bookmarkStart w:id="197" w:name="_Toc132122120"/>
      <w:bookmarkEnd w:id="197"/>
      <w:bookmarkStart w:id="198" w:name="_Toc132125152"/>
      <w:bookmarkEnd w:id="198"/>
      <w:bookmarkStart w:id="199" w:name="_Toc132125984"/>
      <w:bookmarkEnd w:id="199"/>
      <w:bookmarkStart w:id="200" w:name="_Toc132125038"/>
      <w:bookmarkEnd w:id="200"/>
      <w:bookmarkStart w:id="201" w:name="_Toc493530207"/>
      <w:bookmarkEnd w:id="201"/>
      <w:bookmarkStart w:id="202" w:name="_Toc132124595"/>
      <w:bookmarkEnd w:id="202"/>
      <w:bookmarkStart w:id="203" w:name="_Toc132123635"/>
      <w:bookmarkEnd w:id="203"/>
      <w:r>
        <w:rPr>
          <w:rFonts w:hint="eastAsia" w:hAnsi="宋体"/>
          <w:color w:val="auto"/>
          <w:sz w:val="22"/>
          <w:szCs w:val="22"/>
          <w:highlight w:val="none"/>
        </w:rPr>
        <w:t>1.1投标文件应按以下方法装袋密封</w:t>
      </w:r>
    </w:p>
    <w:p w14:paraId="1E301E9A">
      <w:pPr>
        <w:pStyle w:val="105"/>
        <w:adjustRightInd w:val="0"/>
        <w:snapToGrid w:val="0"/>
        <w:spacing w:line="400" w:lineRule="atLeast"/>
        <w:ind w:firstLine="442" w:firstLineChars="200"/>
        <w:rPr>
          <w:rFonts w:hint="eastAsia" w:hAnsi="宋体"/>
          <w:b/>
          <w:bCs/>
          <w:color w:val="auto"/>
          <w:sz w:val="22"/>
          <w:szCs w:val="22"/>
          <w:highlight w:val="yellow"/>
          <w:u w:val="single"/>
        </w:rPr>
      </w:pPr>
      <w:r>
        <w:rPr>
          <w:rFonts w:hint="eastAsia" w:hAnsi="宋体"/>
          <w:b/>
          <w:bCs/>
          <w:color w:val="000000"/>
          <w:sz w:val="22"/>
          <w:szCs w:val="22"/>
          <w:highlight w:val="none"/>
          <w:u w:val="none"/>
        </w:rPr>
        <w:t>▲</w:t>
      </w:r>
      <w:r>
        <w:rPr>
          <w:rFonts w:hint="eastAsia" w:hAnsi="宋体" w:cs="Arial"/>
          <w:b/>
          <w:bCs/>
          <w:color w:val="000000"/>
          <w:sz w:val="22"/>
          <w:szCs w:val="22"/>
          <w:highlight w:val="none"/>
          <w:u w:val="none"/>
        </w:rPr>
        <w:t>投标文件《报价文件》《资格文件》《商务技术文件》</w:t>
      </w:r>
      <w:r>
        <w:rPr>
          <w:rFonts w:hint="eastAsia" w:hAnsi="宋体" w:cs="Arial"/>
          <w:b/>
          <w:bCs/>
          <w:color w:val="000000"/>
          <w:sz w:val="22"/>
          <w:szCs w:val="22"/>
          <w:highlight w:val="none"/>
          <w:u w:val="none"/>
          <w:lang w:val="en-US" w:eastAsia="zh-CN"/>
        </w:rPr>
        <w:t>三</w:t>
      </w:r>
      <w:r>
        <w:rPr>
          <w:rFonts w:hint="eastAsia" w:hAnsi="宋体" w:cs="Arial"/>
          <w:b/>
          <w:bCs/>
          <w:color w:val="000000"/>
          <w:sz w:val="22"/>
          <w:szCs w:val="22"/>
          <w:highlight w:val="none"/>
          <w:u w:val="none"/>
        </w:rPr>
        <w:t>部分须分别装订成册，且分别密封。所有投标文件资料按顺序装订成册，并注明正、副本字样后装入密封袋内。注明需盖公章及签字（签章）处，应有供应商公章及投标授权代表签字（签章）。封皮上写明</w:t>
      </w:r>
      <w:r>
        <w:rPr>
          <w:rFonts w:hint="eastAsia" w:hAnsi="宋体"/>
          <w:b/>
          <w:bCs/>
          <w:color w:val="000000"/>
          <w:sz w:val="22"/>
          <w:szCs w:val="22"/>
          <w:highlight w:val="none"/>
          <w:u w:val="none"/>
        </w:rPr>
        <w:t>采购人名称，招标编号、招标项目名称、供应商名称</w:t>
      </w:r>
      <w:r>
        <w:rPr>
          <w:rFonts w:hint="eastAsia" w:hAnsi="宋体" w:cs="Arial"/>
          <w:b/>
          <w:bCs/>
          <w:color w:val="000000"/>
          <w:sz w:val="22"/>
          <w:szCs w:val="22"/>
          <w:highlight w:val="none"/>
          <w:u w:val="none"/>
        </w:rPr>
        <w:t>。并分别注明“</w:t>
      </w:r>
      <w:r>
        <w:rPr>
          <w:rFonts w:hint="eastAsia" w:hAnsi="宋体" w:cs="Arial"/>
          <w:b/>
          <w:bCs/>
          <w:color w:val="000000"/>
          <w:sz w:val="22"/>
          <w:szCs w:val="22"/>
          <w:highlight w:val="none"/>
          <w:u w:val="none"/>
          <w:lang w:val="en-US" w:eastAsia="zh-CN"/>
        </w:rPr>
        <w:t>报价文件</w:t>
      </w:r>
      <w:r>
        <w:rPr>
          <w:rFonts w:hint="eastAsia" w:hAnsi="宋体" w:cs="Arial"/>
          <w:b/>
          <w:bCs/>
          <w:color w:val="000000"/>
          <w:sz w:val="22"/>
          <w:szCs w:val="22"/>
          <w:highlight w:val="none"/>
          <w:u w:val="none"/>
        </w:rPr>
        <w:t>”、“</w:t>
      </w:r>
      <w:r>
        <w:rPr>
          <w:rFonts w:hint="eastAsia" w:hAnsi="宋体" w:cs="Arial"/>
          <w:b/>
          <w:bCs/>
          <w:color w:val="000000"/>
          <w:sz w:val="22"/>
          <w:szCs w:val="22"/>
          <w:highlight w:val="none"/>
          <w:u w:val="none"/>
          <w:lang w:val="en-US" w:eastAsia="zh-CN"/>
        </w:rPr>
        <w:t>资格文件</w:t>
      </w:r>
      <w:r>
        <w:rPr>
          <w:rFonts w:hint="eastAsia" w:hAnsi="宋体" w:cs="Arial"/>
          <w:b/>
          <w:bCs/>
          <w:color w:val="000000"/>
          <w:sz w:val="22"/>
          <w:szCs w:val="22"/>
          <w:highlight w:val="none"/>
          <w:u w:val="none"/>
        </w:rPr>
        <w:t>”、</w:t>
      </w:r>
      <w:r>
        <w:rPr>
          <w:rFonts w:hint="eastAsia" w:hAnsi="宋体" w:cs="Arial"/>
          <w:b/>
          <w:bCs/>
          <w:color w:val="000000"/>
          <w:sz w:val="22"/>
          <w:szCs w:val="22"/>
          <w:highlight w:val="none"/>
          <w:u w:val="none"/>
          <w:lang w:eastAsia="zh-CN"/>
        </w:rPr>
        <w:t>“</w:t>
      </w:r>
      <w:r>
        <w:rPr>
          <w:rFonts w:hint="eastAsia" w:hAnsi="宋体" w:cs="Arial"/>
          <w:b/>
          <w:bCs/>
          <w:color w:val="000000"/>
          <w:sz w:val="22"/>
          <w:szCs w:val="22"/>
          <w:highlight w:val="none"/>
          <w:u w:val="none"/>
        </w:rPr>
        <w:t>商务技术文件</w:t>
      </w:r>
      <w:r>
        <w:rPr>
          <w:rFonts w:hint="eastAsia" w:hAnsi="宋体" w:cs="Arial"/>
          <w:b/>
          <w:bCs/>
          <w:color w:val="000000"/>
          <w:sz w:val="22"/>
          <w:szCs w:val="22"/>
          <w:highlight w:val="none"/>
          <w:u w:val="none"/>
          <w:lang w:eastAsia="zh-CN"/>
        </w:rPr>
        <w:t>”</w:t>
      </w:r>
      <w:r>
        <w:rPr>
          <w:rFonts w:hint="eastAsia" w:hAnsi="宋体" w:cs="Arial"/>
          <w:b/>
          <w:bCs/>
          <w:color w:val="000000"/>
          <w:sz w:val="22"/>
          <w:szCs w:val="22"/>
          <w:highlight w:val="none"/>
          <w:u w:val="none"/>
        </w:rPr>
        <w:t>字样。</w:t>
      </w:r>
    </w:p>
    <w:p w14:paraId="0806803D">
      <w:pPr>
        <w:pStyle w:val="19"/>
        <w:adjustRightInd w:val="0"/>
        <w:snapToGrid w:val="0"/>
        <w:spacing w:line="430" w:lineRule="atLeast"/>
        <w:ind w:firstLine="440" w:firstLineChars="200"/>
        <w:rPr>
          <w:rFonts w:hint="eastAsia" w:hAnsi="宋体"/>
          <w:color w:val="auto"/>
          <w:sz w:val="22"/>
          <w:szCs w:val="22"/>
          <w:highlight w:val="none"/>
        </w:rPr>
      </w:pPr>
      <w:r>
        <w:rPr>
          <w:rFonts w:hint="eastAsia" w:hAnsi="宋体"/>
          <w:color w:val="auto"/>
          <w:sz w:val="22"/>
          <w:szCs w:val="22"/>
          <w:highlight w:val="none"/>
        </w:rPr>
        <w:t>1.2如果供应商未按上述要求密封及加写标记，导致投标文件被拒绝接收的责任自负。</w:t>
      </w:r>
    </w:p>
    <w:p w14:paraId="26571BC9">
      <w:pPr>
        <w:pStyle w:val="19"/>
        <w:adjustRightInd w:val="0"/>
        <w:snapToGrid w:val="0"/>
        <w:spacing w:line="430" w:lineRule="atLeast"/>
        <w:ind w:firstLine="440" w:firstLineChars="200"/>
        <w:rPr>
          <w:rFonts w:hint="eastAsia" w:hAnsi="宋体"/>
          <w:color w:val="auto"/>
          <w:sz w:val="22"/>
          <w:szCs w:val="22"/>
          <w:highlight w:val="none"/>
        </w:rPr>
      </w:pPr>
      <w:r>
        <w:rPr>
          <w:rFonts w:hint="eastAsia" w:hAnsi="宋体"/>
          <w:color w:val="auto"/>
          <w:sz w:val="22"/>
          <w:szCs w:val="22"/>
          <w:highlight w:val="none"/>
        </w:rPr>
        <w:t>2.报价截止时间</w:t>
      </w:r>
    </w:p>
    <w:p w14:paraId="09CD2826">
      <w:pPr>
        <w:pStyle w:val="19"/>
        <w:adjustRightInd w:val="0"/>
        <w:snapToGrid w:val="0"/>
        <w:spacing w:line="430" w:lineRule="atLeast"/>
        <w:ind w:firstLine="440" w:firstLineChars="200"/>
        <w:rPr>
          <w:rFonts w:hint="eastAsia" w:hAnsi="宋体"/>
          <w:color w:val="auto"/>
          <w:sz w:val="22"/>
          <w:szCs w:val="22"/>
          <w:highlight w:val="none"/>
        </w:rPr>
      </w:pPr>
      <w:r>
        <w:rPr>
          <w:rFonts w:hint="eastAsia" w:hAnsi="宋体"/>
          <w:color w:val="auto"/>
          <w:sz w:val="22"/>
          <w:szCs w:val="22"/>
          <w:highlight w:val="none"/>
        </w:rPr>
        <w:t>2.1投标文件必须在投标文件递交截止时间前送达指定的地点。</w:t>
      </w:r>
    </w:p>
    <w:p w14:paraId="329C6382">
      <w:pPr>
        <w:pStyle w:val="19"/>
        <w:adjustRightInd w:val="0"/>
        <w:snapToGrid w:val="0"/>
        <w:spacing w:line="430" w:lineRule="atLeast"/>
        <w:ind w:firstLine="440" w:firstLineChars="200"/>
        <w:rPr>
          <w:rFonts w:hint="eastAsia" w:hAnsi="宋体"/>
          <w:color w:val="auto"/>
          <w:sz w:val="22"/>
          <w:szCs w:val="22"/>
          <w:highlight w:val="none"/>
        </w:rPr>
      </w:pPr>
      <w:r>
        <w:rPr>
          <w:rFonts w:hint="eastAsia" w:hAnsi="宋体"/>
          <w:color w:val="auto"/>
          <w:sz w:val="22"/>
          <w:szCs w:val="22"/>
          <w:highlight w:val="none"/>
        </w:rPr>
        <w:t>2.2采购机构如因故推迟报价截止时间，应在报价截止前以更正公告形式通知所有供应商。在这种情况下，供应商的权利和义务将受到新的截止时间的约束。</w:t>
      </w:r>
    </w:p>
    <w:p w14:paraId="34AC2A3C">
      <w:pPr>
        <w:pStyle w:val="19"/>
        <w:adjustRightInd w:val="0"/>
        <w:snapToGrid w:val="0"/>
        <w:spacing w:line="430" w:lineRule="atLeast"/>
        <w:ind w:firstLine="440" w:firstLineChars="200"/>
        <w:rPr>
          <w:rFonts w:hint="eastAsia" w:hAnsi="宋体"/>
          <w:color w:val="auto"/>
          <w:sz w:val="22"/>
          <w:szCs w:val="22"/>
          <w:highlight w:val="none"/>
        </w:rPr>
      </w:pPr>
      <w:r>
        <w:rPr>
          <w:rFonts w:hint="eastAsia" w:hAnsi="宋体"/>
          <w:color w:val="auto"/>
          <w:sz w:val="22"/>
          <w:szCs w:val="22"/>
          <w:highlight w:val="none"/>
        </w:rPr>
        <w:t>3.投标文件的修改和撤回</w:t>
      </w:r>
    </w:p>
    <w:p w14:paraId="3084B4E3">
      <w:pPr>
        <w:pStyle w:val="19"/>
        <w:adjustRightInd w:val="0"/>
        <w:snapToGrid w:val="0"/>
        <w:spacing w:line="430" w:lineRule="atLeast"/>
        <w:ind w:firstLine="440" w:firstLineChars="200"/>
        <w:rPr>
          <w:rFonts w:hint="eastAsia" w:hAnsi="宋体"/>
          <w:color w:val="auto"/>
          <w:sz w:val="22"/>
          <w:szCs w:val="22"/>
          <w:highlight w:val="none"/>
        </w:rPr>
      </w:pPr>
      <w:r>
        <w:rPr>
          <w:rFonts w:hint="eastAsia" w:hAnsi="宋体"/>
          <w:color w:val="auto"/>
          <w:sz w:val="22"/>
          <w:szCs w:val="22"/>
          <w:highlight w:val="none"/>
        </w:rPr>
        <w:t>3.1投标供应商在投标截止时间前，可以对所递交的投标文件进行补充、修改或者撤回，并书面通知采购人或者采购代理机构。补充、修改的内容应当按照招标文件要求签署、盖章、密封后，作为投标文件的组成部分。</w:t>
      </w:r>
    </w:p>
    <w:p w14:paraId="6AACF2C5">
      <w:pPr>
        <w:pStyle w:val="19"/>
        <w:adjustRightInd w:val="0"/>
        <w:snapToGrid w:val="0"/>
        <w:spacing w:line="430" w:lineRule="atLeast"/>
        <w:ind w:firstLine="440" w:firstLineChars="200"/>
        <w:rPr>
          <w:rFonts w:hint="eastAsia" w:hAnsi="宋体"/>
          <w:color w:val="auto"/>
          <w:sz w:val="22"/>
          <w:szCs w:val="22"/>
          <w:highlight w:val="none"/>
        </w:rPr>
      </w:pPr>
      <w:r>
        <w:rPr>
          <w:rFonts w:hint="eastAsia" w:hAnsi="宋体"/>
          <w:color w:val="auto"/>
          <w:sz w:val="22"/>
          <w:szCs w:val="22"/>
          <w:highlight w:val="none"/>
        </w:rPr>
        <w:t>3.2供应商在投标截止时间以后不得要求修改和撤回投标文件。</w:t>
      </w:r>
    </w:p>
    <w:p w14:paraId="102A4F16">
      <w:pPr>
        <w:pStyle w:val="19"/>
        <w:adjustRightInd w:val="0"/>
        <w:snapToGrid w:val="0"/>
        <w:spacing w:line="430" w:lineRule="atLeast"/>
        <w:ind w:firstLine="440" w:firstLineChars="200"/>
        <w:rPr>
          <w:rFonts w:hint="eastAsia" w:hAnsi="宋体"/>
          <w:color w:val="auto"/>
          <w:sz w:val="22"/>
          <w:szCs w:val="22"/>
          <w:highlight w:val="none"/>
        </w:rPr>
      </w:pPr>
      <w:r>
        <w:rPr>
          <w:rFonts w:hint="eastAsia" w:hAnsi="宋体"/>
          <w:color w:val="auto"/>
          <w:sz w:val="22"/>
          <w:szCs w:val="22"/>
          <w:highlight w:val="none"/>
        </w:rPr>
        <w:t>4.投标文件的递交</w:t>
      </w:r>
    </w:p>
    <w:p w14:paraId="58DF7DE5">
      <w:pPr>
        <w:pStyle w:val="19"/>
        <w:adjustRightInd w:val="0"/>
        <w:snapToGrid w:val="0"/>
        <w:spacing w:line="430" w:lineRule="atLeast"/>
        <w:ind w:firstLine="442" w:firstLineChars="200"/>
        <w:rPr>
          <w:rFonts w:hint="eastAsia" w:hAnsi="宋体"/>
          <w:b/>
          <w:bCs/>
          <w:color w:val="auto"/>
          <w:sz w:val="22"/>
          <w:szCs w:val="22"/>
          <w:highlight w:val="none"/>
        </w:rPr>
      </w:pPr>
      <w:r>
        <w:rPr>
          <w:rFonts w:hint="eastAsia" w:hAnsi="宋体"/>
          <w:b/>
          <w:bCs/>
          <w:color w:val="auto"/>
          <w:sz w:val="22"/>
          <w:szCs w:val="22"/>
          <w:highlight w:val="none"/>
        </w:rPr>
        <w:t>递交投标文件时，需满足以下要求，否则该投标文件予以拒绝：</w:t>
      </w:r>
    </w:p>
    <w:p w14:paraId="6947CFC6">
      <w:pPr>
        <w:pStyle w:val="19"/>
        <w:adjustRightInd w:val="0"/>
        <w:snapToGrid w:val="0"/>
        <w:spacing w:line="430" w:lineRule="atLeast"/>
        <w:ind w:firstLine="440" w:firstLineChars="200"/>
        <w:rPr>
          <w:rFonts w:hint="eastAsia" w:hAnsi="宋体"/>
          <w:color w:val="auto"/>
          <w:sz w:val="22"/>
          <w:szCs w:val="22"/>
          <w:highlight w:val="none"/>
        </w:rPr>
      </w:pPr>
      <w:r>
        <w:rPr>
          <w:rFonts w:hint="eastAsia" w:hAnsi="宋体"/>
          <w:color w:val="auto"/>
          <w:sz w:val="22"/>
          <w:szCs w:val="22"/>
          <w:highlight w:val="none"/>
        </w:rPr>
        <w:t>4.1在投标截止时间之前递交。</w:t>
      </w:r>
    </w:p>
    <w:p w14:paraId="00344926">
      <w:pPr>
        <w:pStyle w:val="19"/>
        <w:adjustRightInd w:val="0"/>
        <w:snapToGrid w:val="0"/>
        <w:spacing w:line="430" w:lineRule="atLeast"/>
        <w:ind w:firstLine="440" w:firstLineChars="200"/>
        <w:rPr>
          <w:rFonts w:hint="eastAsia" w:hAnsi="宋体"/>
          <w:color w:val="auto"/>
          <w:sz w:val="22"/>
          <w:szCs w:val="22"/>
          <w:highlight w:val="none"/>
        </w:rPr>
      </w:pPr>
      <w:r>
        <w:rPr>
          <w:rFonts w:hint="eastAsia" w:hAnsi="宋体"/>
          <w:color w:val="auto"/>
          <w:sz w:val="22"/>
          <w:szCs w:val="22"/>
          <w:highlight w:val="none"/>
        </w:rPr>
        <w:t>4.2包装与密封符合招标文件要求。</w:t>
      </w:r>
    </w:p>
    <w:p w14:paraId="09464902">
      <w:pPr>
        <w:pStyle w:val="19"/>
        <w:adjustRightInd w:val="0"/>
        <w:snapToGrid w:val="0"/>
        <w:spacing w:line="430" w:lineRule="atLeast"/>
        <w:ind w:firstLine="440" w:firstLineChars="200"/>
        <w:rPr>
          <w:rFonts w:hint="eastAsia" w:hAnsi="宋体"/>
          <w:color w:val="auto"/>
          <w:sz w:val="22"/>
          <w:szCs w:val="22"/>
          <w:highlight w:val="none"/>
        </w:rPr>
      </w:pPr>
      <w:r>
        <w:rPr>
          <w:rFonts w:hint="eastAsia" w:hAnsi="宋体"/>
          <w:color w:val="auto"/>
          <w:sz w:val="22"/>
          <w:szCs w:val="22"/>
          <w:highlight w:val="none"/>
        </w:rPr>
        <w:t>4.3投标文件递交到指定的地点。</w:t>
      </w:r>
    </w:p>
    <w:p w14:paraId="1B3D9A9B">
      <w:pPr>
        <w:outlineLvl w:val="1"/>
        <w:rPr>
          <w:rFonts w:hint="eastAsia"/>
          <w:b/>
          <w:bCs/>
          <w:color w:val="auto"/>
          <w:sz w:val="24"/>
          <w:szCs w:val="24"/>
          <w:highlight w:val="none"/>
        </w:rPr>
      </w:pPr>
      <w:r>
        <w:rPr>
          <w:rFonts w:hint="eastAsia"/>
          <w:b/>
          <w:bCs/>
          <w:color w:val="auto"/>
          <w:sz w:val="24"/>
          <w:szCs w:val="24"/>
          <w:highlight w:val="none"/>
        </w:rPr>
        <w:t>五、开标和评标</w:t>
      </w:r>
    </w:p>
    <w:p w14:paraId="350DBA97">
      <w:pPr>
        <w:pStyle w:val="19"/>
        <w:adjustRightInd w:val="0"/>
        <w:snapToGrid w:val="0"/>
        <w:spacing w:line="460" w:lineRule="atLeast"/>
        <w:ind w:firstLine="440" w:firstLineChars="200"/>
        <w:rPr>
          <w:rFonts w:hAnsi="宋体"/>
          <w:color w:val="auto"/>
          <w:sz w:val="22"/>
          <w:szCs w:val="22"/>
          <w:highlight w:val="none"/>
        </w:rPr>
      </w:pPr>
      <w:r>
        <w:rPr>
          <w:rFonts w:hAnsi="宋体"/>
          <w:color w:val="auto"/>
          <w:sz w:val="22"/>
          <w:szCs w:val="22"/>
          <w:highlight w:val="none"/>
        </w:rPr>
        <w:t>1、开标</w:t>
      </w:r>
    </w:p>
    <w:p w14:paraId="0C7DAA4D">
      <w:pPr>
        <w:adjustRightInd w:val="0"/>
        <w:snapToGrid w:val="0"/>
        <w:spacing w:line="460" w:lineRule="atLeast"/>
        <w:ind w:firstLine="440" w:firstLineChars="200"/>
        <w:rPr>
          <w:rFonts w:hint="eastAsia" w:ascii="宋体" w:hAnsi="宋体"/>
          <w:color w:val="auto"/>
          <w:sz w:val="22"/>
          <w:highlight w:val="none"/>
        </w:rPr>
      </w:pPr>
      <w:r>
        <w:rPr>
          <w:rFonts w:hint="eastAsia" w:ascii="宋体" w:hAnsi="宋体"/>
          <w:color w:val="auto"/>
          <w:sz w:val="22"/>
          <w:highlight w:val="none"/>
        </w:rPr>
        <w:t>1.1采购组织机构按招标文件规定的时间、地点截标、开标。</w:t>
      </w:r>
    </w:p>
    <w:p w14:paraId="629E477C">
      <w:pPr>
        <w:adjustRightInd w:val="0"/>
        <w:snapToGrid w:val="0"/>
        <w:spacing w:line="460" w:lineRule="atLeast"/>
        <w:ind w:firstLine="440" w:firstLineChars="200"/>
        <w:rPr>
          <w:rFonts w:hint="eastAsia" w:ascii="宋体" w:hAnsi="宋体"/>
          <w:color w:val="auto"/>
          <w:sz w:val="22"/>
          <w:highlight w:val="none"/>
        </w:rPr>
      </w:pPr>
      <w:r>
        <w:rPr>
          <w:rFonts w:hint="eastAsia" w:ascii="宋体" w:hAnsi="宋体"/>
          <w:color w:val="auto"/>
          <w:sz w:val="22"/>
          <w:highlight w:val="none"/>
        </w:rPr>
        <w:t>1.2供应商的授权代表必须出席开标签到，并积极配合可能的询标。</w:t>
      </w:r>
    </w:p>
    <w:p w14:paraId="4D33DD57">
      <w:pPr>
        <w:adjustRightInd w:val="0"/>
        <w:snapToGrid w:val="0"/>
        <w:spacing w:line="460" w:lineRule="atLeast"/>
        <w:ind w:firstLine="440" w:firstLineChars="200"/>
        <w:rPr>
          <w:rFonts w:hint="eastAsia" w:ascii="宋体" w:hAnsi="宋体"/>
          <w:color w:val="auto"/>
          <w:sz w:val="22"/>
          <w:highlight w:val="none"/>
        </w:rPr>
      </w:pPr>
      <w:r>
        <w:rPr>
          <w:rFonts w:hint="eastAsia" w:ascii="宋体" w:hAnsi="宋体"/>
          <w:color w:val="auto"/>
          <w:sz w:val="22"/>
          <w:highlight w:val="none"/>
        </w:rPr>
        <w:t>1.3技术资信标开标</w:t>
      </w:r>
    </w:p>
    <w:p w14:paraId="58B1BA27">
      <w:pPr>
        <w:adjustRightInd w:val="0"/>
        <w:snapToGrid w:val="0"/>
        <w:spacing w:line="460" w:lineRule="atLeast"/>
        <w:ind w:firstLine="440" w:firstLineChars="200"/>
        <w:rPr>
          <w:rFonts w:hint="eastAsia" w:ascii="宋体" w:hAnsi="宋体"/>
          <w:color w:val="auto"/>
          <w:sz w:val="22"/>
          <w:highlight w:val="none"/>
        </w:rPr>
      </w:pPr>
      <w:r>
        <w:rPr>
          <w:rFonts w:hint="eastAsia" w:ascii="宋体" w:hAnsi="宋体"/>
          <w:color w:val="auto"/>
          <w:sz w:val="22"/>
          <w:highlight w:val="none"/>
        </w:rPr>
        <w:t>（1）首先当众开启</w:t>
      </w:r>
      <w:r>
        <w:rPr>
          <w:rFonts w:hint="eastAsia" w:ascii="宋体" w:hAnsi="宋体"/>
          <w:color w:val="auto"/>
          <w:sz w:val="22"/>
          <w:highlight w:val="none"/>
          <w:lang w:val="en-US" w:eastAsia="zh-CN"/>
        </w:rPr>
        <w:t>投标文件</w:t>
      </w:r>
      <w:r>
        <w:rPr>
          <w:rFonts w:hint="eastAsia" w:ascii="宋体" w:hAnsi="宋体"/>
          <w:color w:val="auto"/>
          <w:sz w:val="22"/>
          <w:highlight w:val="none"/>
        </w:rPr>
        <w:t>。</w:t>
      </w:r>
    </w:p>
    <w:p w14:paraId="12DC43F2">
      <w:pPr>
        <w:adjustRightInd w:val="0"/>
        <w:snapToGrid w:val="0"/>
        <w:spacing w:line="460" w:lineRule="atLeast"/>
        <w:ind w:firstLine="440" w:firstLineChars="200"/>
        <w:rPr>
          <w:rFonts w:hint="eastAsia" w:ascii="宋体" w:hAnsi="宋体"/>
          <w:color w:val="auto"/>
          <w:sz w:val="22"/>
          <w:highlight w:val="none"/>
        </w:rPr>
      </w:pPr>
      <w:r>
        <w:rPr>
          <w:rFonts w:hint="eastAsia" w:ascii="宋体" w:hAnsi="宋体"/>
          <w:color w:val="auto"/>
          <w:sz w:val="22"/>
          <w:highlight w:val="none"/>
        </w:rPr>
        <w:t>按招标文件规定的开标时间，</w:t>
      </w:r>
      <w:r>
        <w:rPr>
          <w:rFonts w:hint="eastAsia" w:ascii="宋体" w:hAnsi="宋体"/>
          <w:color w:val="auto"/>
          <w:sz w:val="22"/>
          <w:highlight w:val="none"/>
          <w:lang w:val="en-US" w:eastAsia="zh-CN"/>
        </w:rPr>
        <w:t>首先审查密封情况</w:t>
      </w:r>
      <w:r>
        <w:rPr>
          <w:rFonts w:hint="eastAsia" w:ascii="宋体" w:hAnsi="宋体"/>
          <w:color w:val="auto"/>
          <w:sz w:val="22"/>
          <w:highlight w:val="none"/>
        </w:rPr>
        <w:t>。为方便供应商投标，开启其技术资信标后再进行投标资格审查，但对于其技术资信标的启封，采购人及采购组织机构不承担任何责任。通过资格性审查的供应商，进入其技术资信标评审。不通过的，退还未拆封的相关投标文件。</w:t>
      </w:r>
    </w:p>
    <w:p w14:paraId="1F958A0B">
      <w:pPr>
        <w:adjustRightInd w:val="0"/>
        <w:snapToGrid w:val="0"/>
        <w:spacing w:line="460" w:lineRule="atLeast"/>
        <w:ind w:firstLine="440" w:firstLineChars="200"/>
        <w:rPr>
          <w:rFonts w:hint="eastAsia" w:ascii="宋体" w:hAnsi="宋体"/>
          <w:color w:val="auto"/>
          <w:sz w:val="22"/>
          <w:highlight w:val="none"/>
        </w:rPr>
      </w:pPr>
      <w:r>
        <w:rPr>
          <w:rFonts w:hint="eastAsia" w:ascii="宋体" w:hAnsi="宋体"/>
          <w:color w:val="auto"/>
          <w:sz w:val="22"/>
          <w:highlight w:val="none"/>
        </w:rPr>
        <w:t>（2）由评标委员会对供应商资信、资质、资格及技术进行符合性审查。技术资信标符合性审查通过的供应商，进入商务报价标开标。不通过的，退还其商务报价部分投标文件。</w:t>
      </w:r>
    </w:p>
    <w:p w14:paraId="4A71DB56">
      <w:pPr>
        <w:adjustRightInd w:val="0"/>
        <w:snapToGrid w:val="0"/>
        <w:spacing w:line="460" w:lineRule="atLeast"/>
        <w:ind w:firstLine="440" w:firstLineChars="200"/>
        <w:rPr>
          <w:rFonts w:hint="eastAsia" w:ascii="宋体" w:hAnsi="宋体"/>
          <w:color w:val="auto"/>
          <w:sz w:val="22"/>
          <w:highlight w:val="none"/>
        </w:rPr>
      </w:pPr>
      <w:r>
        <w:rPr>
          <w:rFonts w:hint="eastAsia" w:ascii="宋体" w:hAnsi="宋体"/>
          <w:color w:val="auto"/>
          <w:sz w:val="22"/>
          <w:highlight w:val="none"/>
        </w:rPr>
        <w:t>1.4商务报价标开标</w:t>
      </w:r>
    </w:p>
    <w:p w14:paraId="6B541890">
      <w:pPr>
        <w:adjustRightInd w:val="0"/>
        <w:snapToGrid w:val="0"/>
        <w:spacing w:line="460" w:lineRule="atLeast"/>
        <w:ind w:firstLine="440" w:firstLineChars="200"/>
        <w:rPr>
          <w:rFonts w:hint="eastAsia" w:ascii="宋体" w:hAnsi="宋体"/>
          <w:color w:val="auto"/>
          <w:sz w:val="22"/>
          <w:highlight w:val="none"/>
        </w:rPr>
      </w:pPr>
      <w:r>
        <w:rPr>
          <w:rFonts w:hint="eastAsia" w:ascii="宋体" w:hAnsi="宋体"/>
          <w:color w:val="auto"/>
          <w:sz w:val="22"/>
          <w:highlight w:val="none"/>
        </w:rPr>
        <w:t>（1）宣布对各供应商有效身份证件等审查结果和技术、资信标得分情况。</w:t>
      </w:r>
    </w:p>
    <w:p w14:paraId="12E4392E">
      <w:pPr>
        <w:adjustRightInd w:val="0"/>
        <w:snapToGrid w:val="0"/>
        <w:spacing w:line="460" w:lineRule="atLeast"/>
        <w:ind w:firstLine="440" w:firstLineChars="200"/>
        <w:rPr>
          <w:rFonts w:hint="eastAsia" w:ascii="宋体" w:hAnsi="宋体"/>
          <w:color w:val="auto"/>
          <w:sz w:val="22"/>
          <w:highlight w:val="none"/>
        </w:rPr>
      </w:pPr>
      <w:r>
        <w:rPr>
          <w:rFonts w:hint="eastAsia" w:ascii="宋体" w:hAnsi="宋体"/>
          <w:color w:val="auto"/>
          <w:sz w:val="22"/>
          <w:highlight w:val="none"/>
        </w:rPr>
        <w:t>（2）检查有效供应商“商务报价标”的密封情况，确认无误后开启“商务报价标”，唱读</w:t>
      </w:r>
      <w:r>
        <w:rPr>
          <w:rFonts w:hint="eastAsia" w:ascii="宋体" w:hAnsi="宋体"/>
          <w:color w:val="auto"/>
          <w:sz w:val="22"/>
          <w:highlight w:val="none"/>
          <w:lang w:val="en-US" w:eastAsia="zh-CN"/>
        </w:rPr>
        <w:t>投标人的报价</w:t>
      </w:r>
      <w:r>
        <w:rPr>
          <w:rFonts w:hint="eastAsia" w:ascii="宋体" w:hAnsi="宋体"/>
          <w:color w:val="auto"/>
          <w:sz w:val="22"/>
          <w:highlight w:val="none"/>
        </w:rPr>
        <w:t>。</w:t>
      </w:r>
    </w:p>
    <w:p w14:paraId="621F8179">
      <w:pPr>
        <w:adjustRightInd w:val="0"/>
        <w:snapToGrid w:val="0"/>
        <w:spacing w:line="460" w:lineRule="atLeast"/>
        <w:ind w:firstLine="440" w:firstLineChars="200"/>
        <w:rPr>
          <w:rFonts w:hint="eastAsia" w:ascii="宋体" w:hAnsi="宋体"/>
          <w:color w:val="auto"/>
          <w:sz w:val="22"/>
          <w:highlight w:val="none"/>
        </w:rPr>
      </w:pPr>
      <w:r>
        <w:rPr>
          <w:rFonts w:hint="eastAsia" w:ascii="宋体" w:hAnsi="宋体"/>
          <w:color w:val="auto"/>
          <w:sz w:val="22"/>
          <w:highlight w:val="none"/>
        </w:rPr>
        <w:t>（3）开商务标时，采购人指定专人作好记录，存档备查。</w:t>
      </w:r>
    </w:p>
    <w:p w14:paraId="114BB9FB">
      <w:pPr>
        <w:spacing w:line="400" w:lineRule="exact"/>
        <w:ind w:firstLine="420"/>
        <w:rPr>
          <w:rFonts w:hint="eastAsia" w:ascii="宋体" w:hAnsi="宋体" w:cs="Arial"/>
          <w:color w:val="auto"/>
          <w:kern w:val="0"/>
          <w:sz w:val="22"/>
          <w:highlight w:val="none"/>
        </w:rPr>
      </w:pPr>
      <w:r>
        <w:rPr>
          <w:rFonts w:hint="eastAsia" w:ascii="宋体" w:hAnsi="宋体" w:cs="Arial"/>
          <w:color w:val="auto"/>
          <w:kern w:val="0"/>
          <w:sz w:val="22"/>
          <w:highlight w:val="none"/>
        </w:rPr>
        <w:t>2.评标</w:t>
      </w:r>
    </w:p>
    <w:p w14:paraId="63DC3DF7">
      <w:pPr>
        <w:spacing w:line="400" w:lineRule="exact"/>
        <w:ind w:firstLine="420"/>
        <w:rPr>
          <w:rFonts w:hint="eastAsia" w:ascii="宋体" w:hAnsi="宋体" w:cs="Arial"/>
          <w:color w:val="auto"/>
          <w:kern w:val="0"/>
          <w:sz w:val="22"/>
          <w:highlight w:val="none"/>
        </w:rPr>
      </w:pPr>
      <w:r>
        <w:rPr>
          <w:rFonts w:hint="eastAsia" w:ascii="宋体" w:hAnsi="宋体" w:cs="Arial"/>
          <w:color w:val="auto"/>
          <w:kern w:val="0"/>
          <w:sz w:val="22"/>
          <w:highlight w:val="none"/>
        </w:rPr>
        <w:t>2.1评标由采购人依法组建的评标委员会负责，并独立履行下列职责：</w:t>
      </w:r>
    </w:p>
    <w:p w14:paraId="6811A359">
      <w:pPr>
        <w:spacing w:line="400" w:lineRule="exact"/>
        <w:ind w:firstLine="420"/>
        <w:rPr>
          <w:rFonts w:hint="eastAsia" w:ascii="宋体" w:hAnsi="宋体" w:cs="Arial"/>
          <w:color w:val="auto"/>
          <w:kern w:val="0"/>
          <w:sz w:val="22"/>
          <w:highlight w:val="none"/>
        </w:rPr>
      </w:pPr>
      <w:r>
        <w:rPr>
          <w:rFonts w:hint="eastAsia" w:ascii="宋体" w:hAnsi="宋体" w:cs="Arial"/>
          <w:color w:val="auto"/>
          <w:kern w:val="0"/>
          <w:sz w:val="22"/>
          <w:highlight w:val="none"/>
        </w:rPr>
        <w:t>1）审查投标文件是否符合招标文件要求，并作出评价；</w:t>
      </w:r>
    </w:p>
    <w:p w14:paraId="7D07CC5B">
      <w:pPr>
        <w:spacing w:line="400" w:lineRule="exact"/>
        <w:ind w:firstLine="420"/>
        <w:rPr>
          <w:rFonts w:hint="eastAsia" w:ascii="宋体" w:hAnsi="宋体" w:cs="Arial"/>
          <w:color w:val="auto"/>
          <w:kern w:val="0"/>
          <w:sz w:val="22"/>
          <w:highlight w:val="none"/>
        </w:rPr>
      </w:pPr>
      <w:r>
        <w:rPr>
          <w:rFonts w:hint="eastAsia" w:ascii="宋体" w:hAnsi="宋体" w:cs="Arial"/>
          <w:color w:val="auto"/>
          <w:kern w:val="0"/>
          <w:sz w:val="22"/>
          <w:highlight w:val="none"/>
        </w:rPr>
        <w:t>2）要求供应商对投标文件有关事项作出解释或者澄清；</w:t>
      </w:r>
    </w:p>
    <w:p w14:paraId="538DA471">
      <w:pPr>
        <w:spacing w:line="400" w:lineRule="exact"/>
        <w:ind w:firstLine="420"/>
        <w:rPr>
          <w:rFonts w:hint="eastAsia" w:ascii="宋体" w:hAnsi="宋体" w:cs="Arial"/>
          <w:color w:val="auto"/>
          <w:kern w:val="0"/>
          <w:sz w:val="22"/>
          <w:highlight w:val="none"/>
        </w:rPr>
      </w:pPr>
      <w:r>
        <w:rPr>
          <w:rFonts w:hint="eastAsia" w:ascii="宋体" w:hAnsi="宋体" w:cs="Arial"/>
          <w:color w:val="auto"/>
          <w:kern w:val="0"/>
          <w:sz w:val="22"/>
          <w:highlight w:val="none"/>
        </w:rPr>
        <w:t>3）按照招标文件确定的评标办法确定中标人，并对其排序；综合得分最高的供应商推荐为中标人；</w:t>
      </w:r>
    </w:p>
    <w:p w14:paraId="63A6EAA9">
      <w:pPr>
        <w:spacing w:line="400" w:lineRule="exact"/>
        <w:ind w:firstLine="420"/>
        <w:rPr>
          <w:rFonts w:hint="eastAsia" w:ascii="宋体" w:hAnsi="宋体" w:cs="Arial"/>
          <w:color w:val="auto"/>
          <w:kern w:val="0"/>
          <w:sz w:val="22"/>
          <w:highlight w:val="none"/>
        </w:rPr>
      </w:pPr>
      <w:r>
        <w:rPr>
          <w:rFonts w:hint="eastAsia" w:ascii="宋体" w:hAnsi="宋体" w:cs="Arial"/>
          <w:color w:val="auto"/>
          <w:kern w:val="0"/>
          <w:sz w:val="22"/>
          <w:highlight w:val="none"/>
        </w:rPr>
        <w:t>4）向采购人或者有关部门报告非法干预评标工作的行为；</w:t>
      </w:r>
    </w:p>
    <w:p w14:paraId="08DD5DBD">
      <w:pPr>
        <w:spacing w:line="400" w:lineRule="exact"/>
        <w:ind w:firstLine="420"/>
        <w:rPr>
          <w:rFonts w:hint="eastAsia" w:ascii="宋体" w:hAnsi="宋体" w:cs="Arial"/>
          <w:color w:val="auto"/>
          <w:kern w:val="0"/>
          <w:sz w:val="22"/>
          <w:highlight w:val="none"/>
        </w:rPr>
      </w:pPr>
      <w:r>
        <w:rPr>
          <w:rFonts w:hint="eastAsia" w:ascii="宋体" w:hAnsi="宋体" w:cs="Arial"/>
          <w:color w:val="auto"/>
          <w:kern w:val="0"/>
          <w:sz w:val="22"/>
          <w:highlight w:val="none"/>
        </w:rPr>
        <w:t>5）根据采购人的授权确定中标人名单。</w:t>
      </w:r>
    </w:p>
    <w:p w14:paraId="05745056">
      <w:pPr>
        <w:spacing w:line="400" w:lineRule="exact"/>
        <w:ind w:firstLine="420"/>
        <w:rPr>
          <w:rFonts w:hint="eastAsia" w:ascii="宋体" w:hAnsi="宋体" w:cs="Arial"/>
          <w:color w:val="auto"/>
          <w:kern w:val="0"/>
          <w:sz w:val="22"/>
          <w:highlight w:val="none"/>
        </w:rPr>
      </w:pPr>
      <w:r>
        <w:rPr>
          <w:rFonts w:hint="eastAsia" w:ascii="宋体" w:hAnsi="宋体" w:cs="Arial"/>
          <w:color w:val="auto"/>
          <w:kern w:val="0"/>
          <w:sz w:val="22"/>
          <w:highlight w:val="none"/>
        </w:rPr>
        <w:t>2.2评标应当遵循下列工作程序：</w:t>
      </w:r>
    </w:p>
    <w:p w14:paraId="3F9A3AFB">
      <w:pPr>
        <w:spacing w:line="400" w:lineRule="exact"/>
        <w:ind w:firstLine="420"/>
        <w:rPr>
          <w:rFonts w:hint="eastAsia" w:ascii="宋体" w:hAnsi="宋体" w:cs="Arial"/>
          <w:color w:val="auto"/>
          <w:kern w:val="0"/>
          <w:sz w:val="22"/>
          <w:highlight w:val="none"/>
        </w:rPr>
      </w:pPr>
      <w:r>
        <w:rPr>
          <w:rFonts w:hint="eastAsia" w:ascii="宋体" w:hAnsi="宋体" w:cs="Arial"/>
          <w:color w:val="auto"/>
          <w:kern w:val="0"/>
          <w:sz w:val="22"/>
          <w:highlight w:val="none"/>
        </w:rPr>
        <w:t>2.2.1投标文件初审。初审分为资格性检查和符合性检查。</w:t>
      </w:r>
    </w:p>
    <w:p w14:paraId="543798E5">
      <w:pPr>
        <w:spacing w:line="400" w:lineRule="exact"/>
        <w:ind w:firstLine="420"/>
        <w:rPr>
          <w:rFonts w:hint="eastAsia" w:ascii="宋体" w:hAnsi="宋体" w:cs="Arial"/>
          <w:color w:val="auto"/>
          <w:kern w:val="0"/>
          <w:sz w:val="22"/>
          <w:highlight w:val="none"/>
        </w:rPr>
      </w:pPr>
      <w:r>
        <w:rPr>
          <w:rFonts w:hint="eastAsia" w:ascii="宋体" w:hAnsi="宋体" w:cs="Arial"/>
          <w:color w:val="auto"/>
          <w:kern w:val="0"/>
          <w:sz w:val="22"/>
          <w:highlight w:val="none"/>
        </w:rPr>
        <w:t>（1)资格性检查。依据法律法规和招标文件的规定，对投标文件中的资格证明文件等进行审查，以确定供应商是否具备投标资格。</w:t>
      </w:r>
    </w:p>
    <w:p w14:paraId="5F2CBBC2">
      <w:pPr>
        <w:spacing w:line="400" w:lineRule="exact"/>
        <w:ind w:firstLine="420"/>
        <w:rPr>
          <w:rFonts w:hint="eastAsia" w:ascii="宋体" w:hAnsi="宋体" w:cs="Arial"/>
          <w:color w:val="auto"/>
          <w:kern w:val="0"/>
          <w:sz w:val="22"/>
          <w:highlight w:val="none"/>
        </w:rPr>
      </w:pPr>
      <w:r>
        <w:rPr>
          <w:rFonts w:hint="eastAsia" w:ascii="宋体" w:hAnsi="宋体" w:cs="Arial"/>
          <w:color w:val="auto"/>
          <w:kern w:val="0"/>
          <w:sz w:val="22"/>
          <w:highlight w:val="none"/>
        </w:rPr>
        <w:t>（2)符合性检查。依据招标文件的规定，从投标文件的有效性、完整性和对招标文件的响应程度进行审查，以确定是否对招标文件的实质性要求做出响应。</w:t>
      </w:r>
    </w:p>
    <w:p w14:paraId="5BB33F8F">
      <w:pPr>
        <w:spacing w:line="400" w:lineRule="exact"/>
        <w:ind w:firstLine="420"/>
        <w:rPr>
          <w:rFonts w:hint="eastAsia" w:ascii="宋体" w:hAnsi="宋体" w:cs="Arial"/>
          <w:color w:val="auto"/>
          <w:kern w:val="0"/>
          <w:sz w:val="22"/>
          <w:highlight w:val="none"/>
        </w:rPr>
      </w:pPr>
      <w:r>
        <w:rPr>
          <w:rFonts w:hint="eastAsia" w:ascii="宋体" w:hAnsi="宋体" w:cs="Arial"/>
          <w:color w:val="auto"/>
          <w:kern w:val="0"/>
          <w:sz w:val="22"/>
          <w:highlight w:val="none"/>
        </w:rPr>
        <w:t>2.2.2澄清有关问题。对投标文件中含义不明确、同类问题表述不一致或者有明显文字和计算错误的内容，评标委员会可以书面形式要求供应商做出必要的澄清、说明或者纠正。供应商的澄清、说明或者补正应当采用书面形式，由其授权的代表签字，并不得超出投标文件的范围或者改变投标文件的实质性内容。实质上没有响应招标文件要求的投标将被拒绝。供应商不得通过修正或撤消不合要求的偏离从而使其投标成为实质上响应的投标。评标委员会对投标文件的判定，只依据投标文件内容本身，不依靠开标后的任何外来证明。</w:t>
      </w:r>
    </w:p>
    <w:p w14:paraId="38255725">
      <w:pPr>
        <w:spacing w:line="400" w:lineRule="exact"/>
        <w:ind w:firstLine="420"/>
        <w:rPr>
          <w:rFonts w:hint="eastAsia" w:ascii="宋体" w:hAnsi="宋体" w:cs="Arial"/>
          <w:color w:val="auto"/>
          <w:kern w:val="0"/>
          <w:sz w:val="22"/>
          <w:highlight w:val="none"/>
        </w:rPr>
      </w:pPr>
      <w:r>
        <w:rPr>
          <w:rFonts w:hint="eastAsia" w:ascii="宋体" w:hAnsi="宋体" w:cs="Arial"/>
          <w:color w:val="auto"/>
          <w:kern w:val="0"/>
          <w:sz w:val="22"/>
          <w:highlight w:val="none"/>
        </w:rPr>
        <w:t>2.2.3比较与评价。按招标文件中规定的评标方法和标准，对资格性检查和符合性检查合格的投标文件进行商务和技术评估，综合比较与评价。</w:t>
      </w:r>
    </w:p>
    <w:p w14:paraId="2F6624CF">
      <w:pPr>
        <w:spacing w:line="400" w:lineRule="exact"/>
        <w:ind w:firstLine="420"/>
        <w:rPr>
          <w:rFonts w:ascii="宋体" w:hAnsi="宋体" w:cs="Arial"/>
          <w:color w:val="auto"/>
          <w:kern w:val="0"/>
          <w:sz w:val="22"/>
          <w:highlight w:val="none"/>
        </w:rPr>
      </w:pPr>
      <w:r>
        <w:rPr>
          <w:rFonts w:hint="eastAsia" w:ascii="宋体" w:hAnsi="宋体" w:cs="Arial"/>
          <w:color w:val="auto"/>
          <w:kern w:val="0"/>
          <w:sz w:val="22"/>
          <w:highlight w:val="none"/>
        </w:rPr>
        <w:t>2.2.4推荐中标人候选人名单，并根据采购人的授权确定中标人。</w:t>
      </w:r>
    </w:p>
    <w:p w14:paraId="71CF6950">
      <w:pPr>
        <w:spacing w:line="400" w:lineRule="exact"/>
        <w:ind w:firstLine="420"/>
        <w:rPr>
          <w:rFonts w:ascii="宋体" w:hAnsi="宋体" w:cs="宋体"/>
          <w:b/>
          <w:bCs/>
          <w:color w:val="auto"/>
          <w:sz w:val="22"/>
          <w:highlight w:val="none"/>
          <w:u w:val="single"/>
        </w:rPr>
      </w:pPr>
      <w:r>
        <w:rPr>
          <w:rFonts w:hint="eastAsia" w:ascii="宋体" w:hAnsi="宋体" w:cs="宋体"/>
          <w:b/>
          <w:bCs/>
          <w:color w:val="auto"/>
          <w:sz w:val="22"/>
          <w:highlight w:val="none"/>
        </w:rPr>
        <w:t xml:space="preserve">2.3 </w:t>
      </w:r>
      <w:r>
        <w:rPr>
          <w:rFonts w:hint="eastAsia" w:ascii="宋体" w:hAnsi="宋体" w:cs="宋体"/>
          <w:b/>
          <w:bCs/>
          <w:color w:val="auto"/>
          <w:sz w:val="22"/>
          <w:highlight w:val="none"/>
          <w:u w:val="single"/>
        </w:rPr>
        <w:t>▲供应商存在下列情况之一的，报价无效:</w:t>
      </w:r>
    </w:p>
    <w:p w14:paraId="670E7175">
      <w:pPr>
        <w:pStyle w:val="19"/>
        <w:adjustRightInd w:val="0"/>
        <w:snapToGrid w:val="0"/>
        <w:spacing w:line="400" w:lineRule="exact"/>
        <w:ind w:firstLine="435" w:firstLineChars="197"/>
        <w:rPr>
          <w:rFonts w:hAnsi="宋体"/>
          <w:b/>
          <w:bCs/>
          <w:color w:val="auto"/>
          <w:sz w:val="22"/>
          <w:szCs w:val="22"/>
          <w:highlight w:val="none"/>
          <w:u w:val="single"/>
        </w:rPr>
      </w:pPr>
      <w:r>
        <w:rPr>
          <w:rFonts w:hint="eastAsia" w:hAnsi="宋体"/>
          <w:b/>
          <w:bCs/>
          <w:color w:val="auto"/>
          <w:sz w:val="22"/>
          <w:szCs w:val="22"/>
          <w:highlight w:val="none"/>
          <w:u w:val="single"/>
        </w:rPr>
        <w:t>1）投标文件正本未按招标文件要求签署、盖章的；</w:t>
      </w:r>
    </w:p>
    <w:p w14:paraId="1CF933F9">
      <w:pPr>
        <w:pStyle w:val="19"/>
        <w:adjustRightInd w:val="0"/>
        <w:snapToGrid w:val="0"/>
        <w:spacing w:line="400" w:lineRule="exact"/>
        <w:ind w:firstLine="435" w:firstLineChars="197"/>
        <w:rPr>
          <w:rFonts w:hAnsi="宋体"/>
          <w:b/>
          <w:bCs/>
          <w:color w:val="auto"/>
          <w:sz w:val="22"/>
          <w:szCs w:val="22"/>
          <w:highlight w:val="none"/>
          <w:u w:val="single"/>
        </w:rPr>
      </w:pPr>
      <w:r>
        <w:rPr>
          <w:rFonts w:hint="eastAsia" w:hAnsi="宋体"/>
          <w:b/>
          <w:bCs/>
          <w:color w:val="auto"/>
          <w:sz w:val="22"/>
          <w:szCs w:val="22"/>
          <w:highlight w:val="none"/>
          <w:u w:val="single"/>
        </w:rPr>
        <w:t>2）不具备招标文件中规定的资格要求的；</w:t>
      </w:r>
    </w:p>
    <w:p w14:paraId="1B5BAD20">
      <w:pPr>
        <w:pStyle w:val="19"/>
        <w:adjustRightInd w:val="0"/>
        <w:snapToGrid w:val="0"/>
        <w:spacing w:line="400" w:lineRule="exact"/>
        <w:ind w:firstLine="435" w:firstLineChars="197"/>
        <w:rPr>
          <w:rFonts w:hAnsi="宋体"/>
          <w:b/>
          <w:bCs/>
          <w:color w:val="auto"/>
          <w:sz w:val="22"/>
          <w:szCs w:val="22"/>
          <w:highlight w:val="none"/>
          <w:u w:val="single"/>
        </w:rPr>
      </w:pPr>
      <w:r>
        <w:rPr>
          <w:rFonts w:hint="eastAsia" w:hAnsi="宋体"/>
          <w:b/>
          <w:bCs/>
          <w:color w:val="auto"/>
          <w:sz w:val="22"/>
          <w:szCs w:val="22"/>
          <w:highlight w:val="none"/>
          <w:u w:val="single"/>
        </w:rPr>
        <w:t>3）报价超过招标文件中规定的预算金额或者最高限价的；</w:t>
      </w:r>
    </w:p>
    <w:p w14:paraId="3B30B5BB">
      <w:pPr>
        <w:pStyle w:val="19"/>
        <w:adjustRightInd w:val="0"/>
        <w:snapToGrid w:val="0"/>
        <w:spacing w:line="400" w:lineRule="exact"/>
        <w:ind w:firstLine="435" w:firstLineChars="197"/>
        <w:rPr>
          <w:rFonts w:hAnsi="宋体"/>
          <w:b/>
          <w:bCs/>
          <w:color w:val="auto"/>
          <w:sz w:val="22"/>
          <w:szCs w:val="22"/>
          <w:highlight w:val="none"/>
          <w:u w:val="single"/>
        </w:rPr>
      </w:pPr>
      <w:r>
        <w:rPr>
          <w:rFonts w:hint="eastAsia" w:hAnsi="宋体"/>
          <w:b/>
          <w:bCs/>
          <w:color w:val="auto"/>
          <w:sz w:val="22"/>
          <w:szCs w:val="22"/>
          <w:highlight w:val="none"/>
          <w:u w:val="single"/>
        </w:rPr>
        <w:t>4）投标文件含有采购人不能接受的附加条件的（包括招标文件中明确要求不得偏离的招标要求，存在负偏离的）;</w:t>
      </w:r>
    </w:p>
    <w:p w14:paraId="7C9DA31A">
      <w:pPr>
        <w:pStyle w:val="19"/>
        <w:adjustRightInd w:val="0"/>
        <w:snapToGrid w:val="0"/>
        <w:spacing w:line="400" w:lineRule="exact"/>
        <w:ind w:firstLine="435" w:firstLineChars="197"/>
        <w:rPr>
          <w:rFonts w:hAnsi="宋体"/>
          <w:b/>
          <w:bCs/>
          <w:color w:val="auto"/>
          <w:sz w:val="22"/>
          <w:szCs w:val="22"/>
          <w:highlight w:val="none"/>
          <w:u w:val="single"/>
        </w:rPr>
      </w:pPr>
      <w:r>
        <w:rPr>
          <w:rFonts w:hint="eastAsia" w:hAnsi="宋体"/>
          <w:b/>
          <w:bCs/>
          <w:color w:val="auto"/>
          <w:sz w:val="22"/>
          <w:szCs w:val="22"/>
          <w:highlight w:val="none"/>
          <w:u w:val="single"/>
        </w:rPr>
        <w:t>5）供应商递交两份或两份以上内容不同的投标文件，未声明哪一份有效的；</w:t>
      </w:r>
    </w:p>
    <w:p w14:paraId="130792C2">
      <w:pPr>
        <w:pStyle w:val="19"/>
        <w:adjustRightInd w:val="0"/>
        <w:snapToGrid w:val="0"/>
        <w:spacing w:line="400" w:lineRule="exact"/>
        <w:ind w:firstLine="435" w:firstLineChars="197"/>
        <w:rPr>
          <w:rFonts w:hAnsi="宋体"/>
          <w:b/>
          <w:bCs/>
          <w:color w:val="auto"/>
          <w:sz w:val="22"/>
          <w:szCs w:val="22"/>
          <w:highlight w:val="none"/>
          <w:u w:val="single"/>
        </w:rPr>
      </w:pPr>
      <w:r>
        <w:rPr>
          <w:rFonts w:hint="eastAsia" w:hAnsi="宋体"/>
          <w:b/>
          <w:bCs/>
          <w:color w:val="auto"/>
          <w:sz w:val="22"/>
          <w:szCs w:val="22"/>
          <w:highlight w:val="none"/>
          <w:u w:val="single"/>
        </w:rPr>
        <w:t>6）对关键条文的偏离、保留或反对，例如关于付款方式、完工期（服务期）、免费质保期、适用法律法规、标准、税费等其他内容；</w:t>
      </w:r>
    </w:p>
    <w:p w14:paraId="1ECFA7D2">
      <w:pPr>
        <w:pStyle w:val="19"/>
        <w:adjustRightInd w:val="0"/>
        <w:snapToGrid w:val="0"/>
        <w:spacing w:line="400" w:lineRule="exact"/>
        <w:ind w:firstLine="435" w:firstLineChars="197"/>
        <w:rPr>
          <w:rFonts w:hAnsi="宋体"/>
          <w:b/>
          <w:bCs/>
          <w:color w:val="auto"/>
          <w:sz w:val="22"/>
          <w:szCs w:val="22"/>
          <w:highlight w:val="none"/>
          <w:u w:val="single"/>
        </w:rPr>
      </w:pPr>
      <w:r>
        <w:rPr>
          <w:rFonts w:hint="eastAsia" w:hAnsi="宋体"/>
          <w:b/>
          <w:bCs/>
          <w:color w:val="auto"/>
          <w:sz w:val="22"/>
          <w:szCs w:val="22"/>
          <w:highlight w:val="none"/>
          <w:u w:val="single"/>
        </w:rPr>
        <w:t>7）存在串标、抬标或弄虚作假情况的；</w:t>
      </w:r>
    </w:p>
    <w:p w14:paraId="3D89A20B">
      <w:pPr>
        <w:pStyle w:val="19"/>
        <w:adjustRightInd w:val="0"/>
        <w:snapToGrid w:val="0"/>
        <w:spacing w:line="400" w:lineRule="exact"/>
        <w:ind w:firstLine="435" w:firstLineChars="197"/>
        <w:rPr>
          <w:rFonts w:hAnsi="宋体"/>
          <w:b/>
          <w:bCs/>
          <w:color w:val="auto"/>
          <w:sz w:val="22"/>
          <w:szCs w:val="22"/>
          <w:highlight w:val="none"/>
          <w:u w:val="single"/>
        </w:rPr>
      </w:pPr>
      <w:r>
        <w:rPr>
          <w:rFonts w:hint="eastAsia" w:hAnsi="宋体"/>
          <w:b/>
          <w:bCs/>
          <w:color w:val="auto"/>
          <w:sz w:val="22"/>
          <w:szCs w:val="22"/>
          <w:highlight w:val="none"/>
          <w:u w:val="single"/>
        </w:rPr>
        <w:t>8）法律、法规和招标文件规定的其他无效情形（或出现重大偏差）。</w:t>
      </w:r>
    </w:p>
    <w:p w14:paraId="71B4C016">
      <w:pPr>
        <w:pStyle w:val="19"/>
        <w:adjustRightInd w:val="0"/>
        <w:snapToGrid w:val="0"/>
        <w:spacing w:line="400" w:lineRule="exact"/>
        <w:ind w:firstLine="435" w:firstLineChars="197"/>
        <w:rPr>
          <w:rFonts w:hAnsi="宋体"/>
          <w:b/>
          <w:bCs/>
          <w:color w:val="auto"/>
          <w:sz w:val="22"/>
          <w:szCs w:val="22"/>
          <w:highlight w:val="none"/>
          <w:u w:val="single"/>
        </w:rPr>
      </w:pPr>
      <w:r>
        <w:rPr>
          <w:rFonts w:hint="eastAsia" w:hAnsi="宋体"/>
          <w:b/>
          <w:bCs/>
          <w:color w:val="auto"/>
          <w:sz w:val="22"/>
          <w:szCs w:val="22"/>
          <w:highlight w:val="none"/>
          <w:u w:val="single"/>
        </w:rPr>
        <w:t>2.4 ▲评标委员会发现投标文件有下列情形之一的属于重大偏差(评标委员会按少数服从多数原则认定),按照无效投标处理：</w:t>
      </w:r>
    </w:p>
    <w:p w14:paraId="0F8AF8F9">
      <w:pPr>
        <w:pStyle w:val="19"/>
        <w:adjustRightInd w:val="0"/>
        <w:snapToGrid w:val="0"/>
        <w:spacing w:line="400" w:lineRule="exact"/>
        <w:ind w:firstLine="435" w:firstLineChars="197"/>
        <w:rPr>
          <w:rFonts w:hAnsi="宋体"/>
          <w:b/>
          <w:bCs/>
          <w:color w:val="auto"/>
          <w:sz w:val="22"/>
          <w:szCs w:val="22"/>
          <w:highlight w:val="none"/>
          <w:u w:val="single"/>
        </w:rPr>
      </w:pPr>
      <w:r>
        <w:rPr>
          <w:rFonts w:hint="eastAsia" w:hAnsi="宋体"/>
          <w:b/>
          <w:bCs/>
          <w:color w:val="auto"/>
          <w:sz w:val="22"/>
          <w:szCs w:val="22"/>
          <w:highlight w:val="none"/>
          <w:u w:val="single"/>
        </w:rPr>
        <w:t>1）未按招标文件要求编制或字迹模糊、辨认不清的投标文件；</w:t>
      </w:r>
    </w:p>
    <w:p w14:paraId="6BCE1284">
      <w:pPr>
        <w:pStyle w:val="19"/>
        <w:adjustRightInd w:val="0"/>
        <w:snapToGrid w:val="0"/>
        <w:spacing w:line="400" w:lineRule="exact"/>
        <w:ind w:firstLine="435" w:firstLineChars="197"/>
        <w:rPr>
          <w:rFonts w:hAnsi="宋体"/>
          <w:b/>
          <w:bCs/>
          <w:color w:val="auto"/>
          <w:sz w:val="22"/>
          <w:szCs w:val="22"/>
          <w:highlight w:val="none"/>
          <w:u w:val="single"/>
        </w:rPr>
      </w:pPr>
      <w:r>
        <w:rPr>
          <w:rFonts w:hint="eastAsia" w:hAnsi="宋体"/>
          <w:b/>
          <w:bCs/>
          <w:color w:val="auto"/>
          <w:sz w:val="22"/>
          <w:szCs w:val="22"/>
          <w:highlight w:val="none"/>
          <w:u w:val="single"/>
        </w:rPr>
        <w:t>2）供应商技术资信投标文件中出现投标报价；</w:t>
      </w:r>
    </w:p>
    <w:p w14:paraId="5CDEBDA8">
      <w:pPr>
        <w:pStyle w:val="19"/>
        <w:adjustRightInd w:val="0"/>
        <w:snapToGrid w:val="0"/>
        <w:spacing w:line="400" w:lineRule="exact"/>
        <w:ind w:firstLine="435" w:firstLineChars="197"/>
        <w:rPr>
          <w:rFonts w:hAnsi="宋体"/>
          <w:b/>
          <w:bCs/>
          <w:color w:val="auto"/>
          <w:sz w:val="22"/>
          <w:szCs w:val="22"/>
          <w:highlight w:val="none"/>
          <w:u w:val="single"/>
        </w:rPr>
      </w:pPr>
      <w:r>
        <w:rPr>
          <w:rFonts w:hint="eastAsia" w:hAnsi="宋体"/>
          <w:b/>
          <w:bCs/>
          <w:color w:val="auto"/>
          <w:sz w:val="22"/>
          <w:szCs w:val="22"/>
          <w:highlight w:val="none"/>
          <w:u w:val="single"/>
        </w:rPr>
        <w:t>3）除2.3条款以外，出现其它明显不符合采购要求的投标文件；</w:t>
      </w:r>
    </w:p>
    <w:p w14:paraId="7E8188A4">
      <w:pPr>
        <w:pStyle w:val="19"/>
        <w:adjustRightInd w:val="0"/>
        <w:snapToGrid w:val="0"/>
        <w:spacing w:line="400" w:lineRule="exact"/>
        <w:ind w:firstLine="435" w:firstLineChars="197"/>
        <w:rPr>
          <w:rFonts w:hAnsi="宋体"/>
          <w:b/>
          <w:bCs/>
          <w:color w:val="auto"/>
          <w:sz w:val="22"/>
          <w:szCs w:val="22"/>
          <w:highlight w:val="none"/>
          <w:u w:val="single"/>
        </w:rPr>
      </w:pPr>
      <w:r>
        <w:rPr>
          <w:rFonts w:hint="eastAsia" w:hAnsi="宋体"/>
          <w:b/>
          <w:bCs/>
          <w:color w:val="auto"/>
          <w:sz w:val="22"/>
          <w:szCs w:val="22"/>
          <w:highlight w:val="none"/>
          <w:u w:val="single"/>
        </w:rPr>
        <w:t>3）除2.3条款以外，出现其它不符合招标文件中规定的实质性要求的投标文件，是否为偏离实质性要求由评标委员会认定。</w:t>
      </w:r>
    </w:p>
    <w:p w14:paraId="0510A635">
      <w:pPr>
        <w:pStyle w:val="19"/>
        <w:adjustRightInd w:val="0"/>
        <w:snapToGrid w:val="0"/>
        <w:spacing w:line="400" w:lineRule="exact"/>
        <w:ind w:firstLine="435" w:firstLineChars="197"/>
        <w:rPr>
          <w:rFonts w:hAnsi="宋体"/>
          <w:b/>
          <w:bCs/>
          <w:color w:val="auto"/>
          <w:sz w:val="22"/>
          <w:szCs w:val="22"/>
          <w:highlight w:val="none"/>
          <w:u w:val="single"/>
        </w:rPr>
      </w:pPr>
      <w:r>
        <w:rPr>
          <w:rFonts w:hint="eastAsia" w:hAnsi="宋体"/>
          <w:b/>
          <w:bCs/>
          <w:color w:val="auto"/>
          <w:sz w:val="22"/>
          <w:szCs w:val="22"/>
          <w:highlight w:val="none"/>
          <w:u w:val="single"/>
        </w:rPr>
        <w:t>2.5 ▲评标委员会认为供应商的最终报价明显低于其他有效供应商的最终报价，有可能影响采购质量或者不能诚信履约的，应当要求其在评标现场合理的时间内提供书面说明，必要时提交相关证明材料；供应商不能证明其报价合理性的，评标委员会应当将其作为无效投标处理。</w:t>
      </w:r>
    </w:p>
    <w:p w14:paraId="1714D6FC">
      <w:pPr>
        <w:pStyle w:val="19"/>
        <w:adjustRightInd w:val="0"/>
        <w:snapToGrid w:val="0"/>
        <w:spacing w:line="400" w:lineRule="exact"/>
        <w:ind w:firstLine="433" w:firstLineChars="197"/>
        <w:rPr>
          <w:rFonts w:hAnsi="宋体"/>
          <w:color w:val="auto"/>
          <w:sz w:val="22"/>
          <w:szCs w:val="22"/>
          <w:highlight w:val="none"/>
          <w:u w:val="none"/>
        </w:rPr>
      </w:pPr>
      <w:r>
        <w:rPr>
          <w:rFonts w:hint="eastAsia" w:hAnsi="宋体"/>
          <w:color w:val="auto"/>
          <w:sz w:val="22"/>
          <w:szCs w:val="22"/>
          <w:highlight w:val="none"/>
          <w:u w:val="none"/>
        </w:rPr>
        <w:t>2.6 评标委员会在评标中，不得改变招标文件中规定的评标标准、方法和中标条件。</w:t>
      </w:r>
    </w:p>
    <w:p w14:paraId="1726C6EE">
      <w:pPr>
        <w:pStyle w:val="19"/>
        <w:adjustRightInd w:val="0"/>
        <w:snapToGrid w:val="0"/>
        <w:spacing w:line="400" w:lineRule="exact"/>
        <w:ind w:firstLine="435" w:firstLineChars="197"/>
        <w:rPr>
          <w:rFonts w:hAnsi="宋体"/>
          <w:b/>
          <w:bCs/>
          <w:color w:val="auto"/>
          <w:sz w:val="22"/>
          <w:szCs w:val="22"/>
          <w:highlight w:val="none"/>
          <w:u w:val="single"/>
        </w:rPr>
      </w:pPr>
      <w:r>
        <w:rPr>
          <w:rFonts w:hint="eastAsia" w:hAnsi="宋体"/>
          <w:b/>
          <w:bCs/>
          <w:color w:val="auto"/>
          <w:sz w:val="22"/>
          <w:szCs w:val="22"/>
          <w:highlight w:val="none"/>
          <w:u w:val="single"/>
        </w:rPr>
        <w:t>2.7▲ 评标时如遇到招标文件未规定的特殊情况，由评标委员会按少数服从多数原则集体决定处理。</w:t>
      </w:r>
    </w:p>
    <w:p w14:paraId="3F86B19D">
      <w:pPr>
        <w:pStyle w:val="19"/>
        <w:adjustRightInd w:val="0"/>
        <w:snapToGrid w:val="0"/>
        <w:spacing w:line="400" w:lineRule="exact"/>
        <w:ind w:firstLine="435" w:firstLineChars="197"/>
        <w:rPr>
          <w:rFonts w:hAnsi="宋体"/>
          <w:b/>
          <w:bCs/>
          <w:color w:val="auto"/>
          <w:sz w:val="22"/>
          <w:szCs w:val="22"/>
          <w:highlight w:val="none"/>
          <w:u w:val="single"/>
        </w:rPr>
      </w:pPr>
      <w:r>
        <w:rPr>
          <w:rFonts w:hint="eastAsia" w:hAnsi="宋体"/>
          <w:b/>
          <w:bCs/>
          <w:color w:val="auto"/>
          <w:sz w:val="22"/>
          <w:szCs w:val="22"/>
          <w:highlight w:val="none"/>
          <w:u w:val="single"/>
        </w:rPr>
        <w:t>2.8▲评标委员会对未成交的供应商不作解释。</w:t>
      </w:r>
    </w:p>
    <w:p w14:paraId="6C8F2547">
      <w:pPr>
        <w:pStyle w:val="19"/>
        <w:adjustRightInd w:val="0"/>
        <w:snapToGrid w:val="0"/>
        <w:spacing w:line="400" w:lineRule="exact"/>
        <w:ind w:firstLine="433" w:firstLineChars="197"/>
        <w:rPr>
          <w:rFonts w:hAnsi="宋体"/>
          <w:color w:val="auto"/>
          <w:sz w:val="22"/>
          <w:szCs w:val="22"/>
          <w:highlight w:val="none"/>
        </w:rPr>
      </w:pPr>
      <w:r>
        <w:rPr>
          <w:rFonts w:hint="eastAsia" w:hAnsi="宋体"/>
          <w:color w:val="auto"/>
          <w:sz w:val="22"/>
          <w:szCs w:val="22"/>
          <w:highlight w:val="none"/>
        </w:rPr>
        <w:t>3.投标文件的澄清</w:t>
      </w:r>
    </w:p>
    <w:p w14:paraId="09D17156">
      <w:pPr>
        <w:adjustRightInd w:val="0"/>
        <w:snapToGrid w:val="0"/>
        <w:spacing w:line="400" w:lineRule="exact"/>
        <w:ind w:firstLine="433" w:firstLineChars="197"/>
        <w:rPr>
          <w:rFonts w:ascii="宋体" w:hAnsi="宋体" w:cs="宋体"/>
          <w:color w:val="auto"/>
          <w:sz w:val="22"/>
          <w:highlight w:val="none"/>
        </w:rPr>
      </w:pPr>
      <w:r>
        <w:rPr>
          <w:rFonts w:hint="eastAsia" w:ascii="宋体" w:hAnsi="宋体" w:cs="宋体"/>
          <w:color w:val="auto"/>
          <w:sz w:val="22"/>
          <w:highlight w:val="none"/>
        </w:rPr>
        <w:t>为有利于对投标文件的比较和评议，必要时采购人及评标委员会可要求供应商对投标文件及合同条款进行澄清，并做出书面答复。书面答复须有授权代表签字并作为报价内容的一部分。</w:t>
      </w:r>
    </w:p>
    <w:p w14:paraId="268359DC">
      <w:pPr>
        <w:adjustRightInd w:val="0"/>
        <w:snapToGrid w:val="0"/>
        <w:spacing w:line="400" w:lineRule="exact"/>
        <w:ind w:left="437" w:leftChars="208"/>
        <w:rPr>
          <w:rFonts w:hint="eastAsia" w:ascii="宋体" w:hAnsi="宋体" w:cs="宋体"/>
          <w:color w:val="auto"/>
          <w:sz w:val="22"/>
          <w:highlight w:val="none"/>
        </w:rPr>
      </w:pPr>
      <w:r>
        <w:rPr>
          <w:rFonts w:hint="eastAsia" w:ascii="宋体" w:hAnsi="宋体" w:cs="宋体"/>
          <w:color w:val="auto"/>
          <w:sz w:val="22"/>
          <w:highlight w:val="none"/>
        </w:rPr>
        <w:t>4.有下列情形之一的，视为供应商相互串通投标：</w:t>
      </w:r>
    </w:p>
    <w:p w14:paraId="3BC8225C">
      <w:pPr>
        <w:adjustRightInd w:val="0"/>
        <w:snapToGrid w:val="0"/>
        <w:spacing w:line="400" w:lineRule="exact"/>
        <w:ind w:left="437" w:leftChars="208"/>
        <w:rPr>
          <w:rFonts w:hint="eastAsia" w:ascii="宋体" w:hAnsi="宋体" w:cs="宋体"/>
          <w:color w:val="auto"/>
          <w:sz w:val="22"/>
          <w:highlight w:val="none"/>
        </w:rPr>
      </w:pPr>
      <w:r>
        <w:rPr>
          <w:rFonts w:hint="eastAsia" w:ascii="宋体" w:hAnsi="宋体" w:cs="宋体"/>
          <w:color w:val="auto"/>
          <w:sz w:val="22"/>
          <w:highlight w:val="none"/>
        </w:rPr>
        <w:t>4.1不同供应商的投标文件由同一单位或者个人编制；</w:t>
      </w:r>
    </w:p>
    <w:p w14:paraId="68D7571A">
      <w:pPr>
        <w:adjustRightInd w:val="0"/>
        <w:snapToGrid w:val="0"/>
        <w:spacing w:line="400" w:lineRule="exact"/>
        <w:ind w:left="437" w:leftChars="208"/>
        <w:rPr>
          <w:rFonts w:hint="eastAsia" w:ascii="宋体" w:hAnsi="宋体" w:cs="宋体"/>
          <w:color w:val="auto"/>
          <w:sz w:val="22"/>
          <w:highlight w:val="none"/>
        </w:rPr>
      </w:pPr>
      <w:r>
        <w:rPr>
          <w:rFonts w:hint="eastAsia" w:ascii="宋体" w:hAnsi="宋体" w:cs="宋体"/>
          <w:color w:val="auto"/>
          <w:sz w:val="22"/>
          <w:highlight w:val="none"/>
        </w:rPr>
        <w:t>4.2不同供应商委托同一单位或者个人办理投标事宜；</w:t>
      </w:r>
    </w:p>
    <w:p w14:paraId="054F07DA">
      <w:pPr>
        <w:adjustRightInd w:val="0"/>
        <w:snapToGrid w:val="0"/>
        <w:spacing w:line="400" w:lineRule="exact"/>
        <w:ind w:left="437" w:leftChars="208"/>
        <w:rPr>
          <w:rFonts w:hint="eastAsia" w:ascii="宋体" w:hAnsi="宋体" w:cs="宋体"/>
          <w:color w:val="auto"/>
          <w:sz w:val="22"/>
          <w:highlight w:val="none"/>
        </w:rPr>
      </w:pPr>
      <w:r>
        <w:rPr>
          <w:rFonts w:hint="eastAsia" w:ascii="宋体" w:hAnsi="宋体" w:cs="宋体"/>
          <w:color w:val="auto"/>
          <w:sz w:val="22"/>
          <w:highlight w:val="none"/>
        </w:rPr>
        <w:t>4.3不同供应商的投标文件载明的项目管理成员为同一人；</w:t>
      </w:r>
    </w:p>
    <w:p w14:paraId="373B1246">
      <w:pPr>
        <w:adjustRightInd w:val="0"/>
        <w:snapToGrid w:val="0"/>
        <w:spacing w:line="400" w:lineRule="exact"/>
        <w:ind w:left="437" w:leftChars="208"/>
        <w:rPr>
          <w:rFonts w:hint="eastAsia" w:ascii="宋体" w:hAnsi="宋体" w:cs="宋体"/>
          <w:color w:val="auto"/>
          <w:sz w:val="22"/>
          <w:highlight w:val="none"/>
        </w:rPr>
      </w:pPr>
      <w:r>
        <w:rPr>
          <w:rFonts w:hint="eastAsia" w:ascii="宋体" w:hAnsi="宋体" w:cs="宋体"/>
          <w:color w:val="auto"/>
          <w:sz w:val="22"/>
          <w:highlight w:val="none"/>
        </w:rPr>
        <w:t>4.4不同供应商的投标文件异常一致或者投标报价呈规律性差异；</w:t>
      </w:r>
    </w:p>
    <w:p w14:paraId="08779B14">
      <w:pPr>
        <w:adjustRightInd w:val="0"/>
        <w:snapToGrid w:val="0"/>
        <w:spacing w:line="400" w:lineRule="exact"/>
        <w:ind w:left="437" w:leftChars="208"/>
        <w:rPr>
          <w:rFonts w:hint="eastAsia" w:ascii="宋体" w:hAnsi="宋体" w:cs="宋体"/>
          <w:color w:val="auto"/>
          <w:sz w:val="22"/>
          <w:highlight w:val="none"/>
        </w:rPr>
      </w:pPr>
      <w:r>
        <w:rPr>
          <w:rFonts w:hint="eastAsia" w:ascii="宋体" w:hAnsi="宋体" w:cs="宋体"/>
          <w:color w:val="auto"/>
          <w:sz w:val="22"/>
          <w:highlight w:val="none"/>
        </w:rPr>
        <w:t>4.5不同供应商的投标文件相互混装；</w:t>
      </w:r>
    </w:p>
    <w:p w14:paraId="2B3E22BE">
      <w:pPr>
        <w:adjustRightInd w:val="0"/>
        <w:snapToGrid w:val="0"/>
        <w:spacing w:line="400" w:lineRule="exact"/>
        <w:ind w:left="437" w:leftChars="208"/>
        <w:rPr>
          <w:rFonts w:ascii="宋体" w:hAnsi="宋体" w:cs="宋体"/>
          <w:color w:val="auto"/>
          <w:sz w:val="22"/>
          <w:highlight w:val="none"/>
        </w:rPr>
      </w:pPr>
      <w:r>
        <w:rPr>
          <w:rFonts w:hint="eastAsia" w:ascii="宋体" w:hAnsi="宋体" w:cs="宋体"/>
          <w:color w:val="auto"/>
          <w:sz w:val="22"/>
          <w:highlight w:val="none"/>
        </w:rPr>
        <w:t>4.6经评标委员会认定供应商进行串通投标的，评标委员会可以对相关供应商做出无效报价处理，并上报采购管理部门进行进一步处理。</w:t>
      </w:r>
    </w:p>
    <w:p w14:paraId="3FEEE72B">
      <w:pPr>
        <w:pStyle w:val="19"/>
        <w:adjustRightInd w:val="0"/>
        <w:snapToGrid w:val="0"/>
        <w:spacing w:line="400" w:lineRule="exact"/>
        <w:ind w:firstLine="440" w:firstLineChars="200"/>
        <w:rPr>
          <w:rFonts w:hAnsi="宋体"/>
          <w:color w:val="auto"/>
          <w:sz w:val="22"/>
          <w:szCs w:val="22"/>
          <w:highlight w:val="none"/>
        </w:rPr>
      </w:pPr>
      <w:r>
        <w:rPr>
          <w:rFonts w:hint="eastAsia" w:hAnsi="宋体"/>
          <w:color w:val="auto"/>
          <w:sz w:val="22"/>
          <w:szCs w:val="22"/>
          <w:highlight w:val="none"/>
        </w:rPr>
        <w:t>5.评标原则</w:t>
      </w:r>
    </w:p>
    <w:p w14:paraId="54831AAD">
      <w:pPr>
        <w:pStyle w:val="19"/>
        <w:adjustRightInd w:val="0"/>
        <w:snapToGrid w:val="0"/>
        <w:spacing w:line="400" w:lineRule="exact"/>
        <w:ind w:firstLine="442" w:firstLineChars="200"/>
        <w:rPr>
          <w:rFonts w:hAnsi="宋体"/>
          <w:b/>
          <w:bCs/>
          <w:color w:val="auto"/>
          <w:sz w:val="22"/>
          <w:szCs w:val="22"/>
          <w:highlight w:val="none"/>
          <w:u w:val="single"/>
        </w:rPr>
      </w:pPr>
      <w:r>
        <w:rPr>
          <w:rFonts w:hint="eastAsia" w:hAnsi="宋体"/>
          <w:b/>
          <w:bCs/>
          <w:color w:val="auto"/>
          <w:sz w:val="22"/>
          <w:szCs w:val="22"/>
          <w:highlight w:val="none"/>
          <w:u w:val="single"/>
        </w:rPr>
        <w:t>▲投标截止时或评审过程中有效投标供应商不足三家的，不予开标或评标。</w:t>
      </w:r>
    </w:p>
    <w:p w14:paraId="336520BC">
      <w:pPr>
        <w:pStyle w:val="19"/>
        <w:adjustRightInd w:val="0"/>
        <w:snapToGrid w:val="0"/>
        <w:spacing w:line="400" w:lineRule="exact"/>
        <w:ind w:firstLine="440" w:firstLineChars="200"/>
        <w:rPr>
          <w:rFonts w:hAnsi="宋体"/>
          <w:color w:val="auto"/>
          <w:sz w:val="22"/>
          <w:szCs w:val="22"/>
          <w:highlight w:val="none"/>
        </w:rPr>
      </w:pPr>
      <w:r>
        <w:rPr>
          <w:rFonts w:hint="eastAsia" w:hAnsi="宋体"/>
          <w:color w:val="auto"/>
          <w:sz w:val="22"/>
          <w:szCs w:val="22"/>
          <w:highlight w:val="none"/>
        </w:rPr>
        <w:t xml:space="preserve">评标委员会按照招标文件的要求和条件对投标文件进行商务和技术评估，综合比较与评价。评标办法具体见本招标文件第七部分。 </w:t>
      </w:r>
    </w:p>
    <w:p w14:paraId="175756B5">
      <w:pPr>
        <w:outlineLvl w:val="1"/>
        <w:rPr>
          <w:rFonts w:hint="eastAsia"/>
          <w:b/>
          <w:bCs/>
          <w:color w:val="auto"/>
          <w:sz w:val="24"/>
          <w:szCs w:val="24"/>
          <w:highlight w:val="none"/>
        </w:rPr>
      </w:pPr>
      <w:r>
        <w:rPr>
          <w:rFonts w:hint="eastAsia"/>
          <w:b/>
          <w:bCs/>
          <w:color w:val="auto"/>
          <w:sz w:val="24"/>
          <w:szCs w:val="24"/>
          <w:highlight w:val="none"/>
        </w:rPr>
        <w:t>六、授予合同</w:t>
      </w:r>
    </w:p>
    <w:p w14:paraId="72B8D55E">
      <w:pPr>
        <w:pStyle w:val="19"/>
        <w:adjustRightInd w:val="0"/>
        <w:snapToGrid w:val="0"/>
        <w:spacing w:line="400" w:lineRule="exact"/>
        <w:ind w:firstLine="433" w:firstLineChars="197"/>
        <w:rPr>
          <w:rFonts w:hAnsi="宋体"/>
          <w:color w:val="auto"/>
          <w:sz w:val="22"/>
          <w:szCs w:val="22"/>
          <w:highlight w:val="none"/>
        </w:rPr>
      </w:pPr>
      <w:r>
        <w:rPr>
          <w:rFonts w:hint="eastAsia" w:hAnsi="宋体"/>
          <w:color w:val="auto"/>
          <w:sz w:val="22"/>
          <w:szCs w:val="22"/>
          <w:highlight w:val="none"/>
        </w:rPr>
        <w:t>1.决标</w:t>
      </w:r>
    </w:p>
    <w:p w14:paraId="029C07F0">
      <w:pPr>
        <w:pStyle w:val="19"/>
        <w:adjustRightInd w:val="0"/>
        <w:snapToGrid w:val="0"/>
        <w:spacing w:line="400" w:lineRule="exact"/>
        <w:ind w:firstLine="433" w:firstLineChars="197"/>
        <w:rPr>
          <w:rFonts w:hAnsi="宋体"/>
          <w:color w:val="auto"/>
          <w:sz w:val="22"/>
          <w:szCs w:val="22"/>
          <w:highlight w:val="none"/>
        </w:rPr>
      </w:pPr>
      <w:r>
        <w:rPr>
          <w:rFonts w:hint="eastAsia" w:hAnsi="宋体"/>
          <w:color w:val="auto"/>
          <w:sz w:val="22"/>
          <w:szCs w:val="22"/>
          <w:highlight w:val="none"/>
        </w:rPr>
        <w:t>评标结束后，评标委员会按照招标文件确定的评标办法推荐中标供应商。</w:t>
      </w:r>
    </w:p>
    <w:p w14:paraId="05066FED">
      <w:pPr>
        <w:pStyle w:val="19"/>
        <w:adjustRightInd w:val="0"/>
        <w:snapToGrid w:val="0"/>
        <w:spacing w:line="400" w:lineRule="exact"/>
        <w:ind w:firstLine="433" w:firstLineChars="197"/>
        <w:rPr>
          <w:rFonts w:hAnsi="宋体"/>
          <w:color w:val="auto"/>
          <w:sz w:val="22"/>
          <w:szCs w:val="22"/>
          <w:highlight w:val="none"/>
        </w:rPr>
      </w:pPr>
      <w:r>
        <w:rPr>
          <w:rFonts w:hint="eastAsia" w:hAnsi="宋体"/>
          <w:color w:val="auto"/>
          <w:sz w:val="22"/>
          <w:szCs w:val="22"/>
          <w:highlight w:val="none"/>
        </w:rPr>
        <w:t>2.中标通知书</w:t>
      </w:r>
    </w:p>
    <w:p w14:paraId="3F8D2ED1">
      <w:pPr>
        <w:spacing w:line="400" w:lineRule="exact"/>
        <w:ind w:firstLine="433" w:firstLineChars="197"/>
        <w:rPr>
          <w:rFonts w:ascii="宋体" w:hAnsi="宋体" w:cs="宋体"/>
          <w:color w:val="auto"/>
          <w:sz w:val="22"/>
          <w:highlight w:val="none"/>
        </w:rPr>
      </w:pPr>
      <w:r>
        <w:rPr>
          <w:rFonts w:hint="eastAsia" w:ascii="宋体" w:hAnsi="宋体" w:cs="宋体"/>
          <w:color w:val="auto"/>
          <w:sz w:val="22"/>
          <w:highlight w:val="none"/>
        </w:rPr>
        <w:t>2.1采购人依法确认中标供应商后，代理机构在泰顺县公共资源交易网上公告中标结果，公告期限为 1 个工作日，同时向中标供应商发出中标通知书。</w:t>
      </w:r>
    </w:p>
    <w:p w14:paraId="28564F6C">
      <w:pPr>
        <w:spacing w:line="400" w:lineRule="exact"/>
        <w:ind w:firstLine="433" w:firstLineChars="197"/>
        <w:rPr>
          <w:rFonts w:ascii="宋体" w:hAnsi="宋体" w:cs="宋体"/>
          <w:color w:val="auto"/>
          <w:sz w:val="22"/>
          <w:highlight w:val="none"/>
        </w:rPr>
      </w:pPr>
      <w:r>
        <w:rPr>
          <w:rFonts w:hint="eastAsia" w:ascii="宋体" w:hAnsi="宋体" w:cs="宋体"/>
          <w:color w:val="auto"/>
          <w:sz w:val="22"/>
          <w:highlight w:val="none"/>
        </w:rPr>
        <w:t>2.2中标通知书对采购人和中标供应商具有法律约束力。中标通知书发出后，采购人改变成交结果或者中标供应商放弃成交的，应当承担法律责任。</w:t>
      </w:r>
    </w:p>
    <w:p w14:paraId="70F2D4EA">
      <w:pPr>
        <w:adjustRightInd w:val="0"/>
        <w:snapToGrid w:val="0"/>
        <w:spacing w:line="400" w:lineRule="exact"/>
        <w:ind w:firstLine="433" w:firstLineChars="197"/>
        <w:rPr>
          <w:rFonts w:ascii="宋体" w:hAnsi="宋体" w:cs="宋体"/>
          <w:color w:val="auto"/>
          <w:sz w:val="22"/>
          <w:highlight w:val="none"/>
        </w:rPr>
      </w:pPr>
      <w:r>
        <w:rPr>
          <w:rFonts w:hint="eastAsia" w:ascii="宋体" w:hAnsi="宋体" w:cs="宋体"/>
          <w:color w:val="auto"/>
          <w:sz w:val="22"/>
          <w:highlight w:val="none"/>
        </w:rPr>
        <w:t>2.3成交无效</w:t>
      </w:r>
    </w:p>
    <w:p w14:paraId="70DAD54B">
      <w:pPr>
        <w:adjustRightInd w:val="0"/>
        <w:snapToGrid w:val="0"/>
        <w:spacing w:line="400" w:lineRule="exact"/>
        <w:ind w:firstLine="433" w:firstLineChars="197"/>
        <w:rPr>
          <w:rFonts w:ascii="宋体" w:hAnsi="宋体" w:cs="宋体"/>
          <w:color w:val="auto"/>
          <w:sz w:val="22"/>
          <w:highlight w:val="none"/>
        </w:rPr>
      </w:pPr>
      <w:r>
        <w:rPr>
          <w:rFonts w:hint="eastAsia" w:ascii="宋体" w:hAnsi="宋体" w:cs="宋体"/>
          <w:color w:val="auto"/>
          <w:sz w:val="22"/>
          <w:highlight w:val="none"/>
        </w:rPr>
        <w:t>发现中标供应商资格无效或中标供应商放弃成交或拒绝与采购人签订合同的,采购人可以按照评审报告推荐的成交候选人名单排序，确定下一候选人为中标供应商，也可以重新开展采购活动。</w:t>
      </w:r>
    </w:p>
    <w:p w14:paraId="71FF51F1">
      <w:pPr>
        <w:pStyle w:val="19"/>
        <w:adjustRightInd w:val="0"/>
        <w:snapToGrid w:val="0"/>
        <w:spacing w:line="400" w:lineRule="exact"/>
        <w:ind w:firstLine="435" w:firstLineChars="197"/>
        <w:rPr>
          <w:rFonts w:hAnsi="宋体"/>
          <w:b/>
          <w:bCs/>
          <w:color w:val="auto"/>
          <w:sz w:val="22"/>
          <w:szCs w:val="22"/>
          <w:highlight w:val="none"/>
        </w:rPr>
      </w:pPr>
      <w:r>
        <w:rPr>
          <w:rFonts w:hAnsi="宋体"/>
          <w:b/>
          <w:bCs/>
          <w:color w:val="auto"/>
          <w:sz w:val="22"/>
          <w:szCs w:val="22"/>
          <w:highlight w:val="none"/>
        </w:rPr>
        <w:t>3</w:t>
      </w:r>
      <w:r>
        <w:rPr>
          <w:rFonts w:hint="eastAsia" w:hAnsi="宋体"/>
          <w:color w:val="auto"/>
          <w:sz w:val="22"/>
          <w:szCs w:val="22"/>
          <w:highlight w:val="none"/>
        </w:rPr>
        <w:t>.</w:t>
      </w:r>
      <w:r>
        <w:rPr>
          <w:rFonts w:hint="eastAsia" w:hAnsi="宋体"/>
          <w:b/>
          <w:bCs/>
          <w:color w:val="auto"/>
          <w:sz w:val="22"/>
          <w:szCs w:val="22"/>
          <w:highlight w:val="none"/>
        </w:rPr>
        <w:t>签订合同</w:t>
      </w:r>
    </w:p>
    <w:p w14:paraId="55BA0A3D">
      <w:pPr>
        <w:adjustRightInd w:val="0"/>
        <w:snapToGrid w:val="0"/>
        <w:spacing w:line="400" w:lineRule="exact"/>
        <w:ind w:firstLine="433" w:firstLineChars="197"/>
        <w:rPr>
          <w:rFonts w:ascii="宋体" w:hAns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1中标供应商须主动联系采购人或采购机构领取中标通知书。中标供应商应当在中标通知书发出之日起30日内与采购人签订合同。中标供应商未经采购人许可，在规定时间内未到采购人处与采购人签订合同，则视为拒签合同。</w:t>
      </w:r>
    </w:p>
    <w:p w14:paraId="6C415FE3">
      <w:pPr>
        <w:adjustRightInd w:val="0"/>
        <w:snapToGrid w:val="0"/>
        <w:spacing w:line="400" w:lineRule="exact"/>
        <w:ind w:firstLine="433" w:firstLineChars="197"/>
        <w:rPr>
          <w:rFonts w:ascii="宋体" w:hAns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.2招标文件、中标供应商的投标文件及投标修改文件、评标过程中有关澄清文件及经双方签字的询标纪要（承诺）和中标通知书均作为合同附件。</w:t>
      </w:r>
    </w:p>
    <w:p w14:paraId="264C8EEA">
      <w:pPr>
        <w:adjustRightInd w:val="0"/>
        <w:snapToGrid w:val="0"/>
        <w:spacing w:line="400" w:lineRule="exact"/>
        <w:ind w:firstLine="433" w:firstLineChars="197"/>
        <w:rPr>
          <w:rFonts w:ascii="宋体" w:hAns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.3拒签合同的责任</w:t>
      </w:r>
    </w:p>
    <w:p w14:paraId="62E99B14">
      <w:pPr>
        <w:pStyle w:val="19"/>
        <w:adjustRightInd w:val="0"/>
        <w:snapToGrid w:val="0"/>
        <w:spacing w:line="400" w:lineRule="exact"/>
        <w:ind w:firstLine="433" w:firstLineChars="197"/>
        <w:rPr>
          <w:rFonts w:hint="eastAsia" w:hAnsi="宋体" w:eastAsia="宋体"/>
          <w:color w:val="auto"/>
          <w:sz w:val="22"/>
          <w:szCs w:val="22"/>
          <w:highlight w:val="none"/>
          <w:lang w:eastAsia="zh-CN"/>
        </w:rPr>
      </w:pPr>
      <w:r>
        <w:rPr>
          <w:rFonts w:hint="eastAsia" w:hAnsi="宋体"/>
          <w:color w:val="auto"/>
          <w:sz w:val="22"/>
          <w:szCs w:val="22"/>
          <w:highlight w:val="none"/>
        </w:rPr>
        <w:t>中标供应商在规定时间内（30日历天）借故否认已经承诺的条件、拒签合同或拒交履约保证金者，以违约处理，并赔偿采购人由此造成的直接经济损失；采购人重新组织采购的，所需费用由原中标供应商承担</w:t>
      </w:r>
      <w:r>
        <w:rPr>
          <w:rFonts w:hint="eastAsia" w:hAnsi="宋体"/>
          <w:color w:val="auto"/>
          <w:sz w:val="22"/>
          <w:szCs w:val="22"/>
          <w:highlight w:val="none"/>
          <w:lang w:eastAsia="zh-CN"/>
        </w:rPr>
        <w:t>，</w:t>
      </w:r>
      <w:r>
        <w:rPr>
          <w:rStyle w:val="52"/>
          <w:rFonts w:hint="eastAsia" w:ascii="Calibri" w:hAnsi="Calibri"/>
          <w:kern w:val="2"/>
          <w:lang w:eastAsia="zh-CN"/>
        </w:rPr>
        <w:t>，</w:t>
      </w:r>
      <w:r>
        <w:rPr>
          <w:rStyle w:val="52"/>
          <w:rFonts w:hint="eastAsia" w:ascii="Calibri" w:hAnsi="Calibri"/>
          <w:kern w:val="2"/>
          <w:lang w:val="en-US" w:eastAsia="zh-CN"/>
        </w:rPr>
        <w:t>并</w:t>
      </w:r>
      <w:r>
        <w:rPr>
          <w:rStyle w:val="52"/>
          <w:rFonts w:hint="eastAsia" w:ascii="Calibri" w:hAnsi="Calibri"/>
          <w:kern w:val="2"/>
          <w:lang w:eastAsia="zh-CN"/>
        </w:rPr>
        <w:t>报国资监管部门予以通报，视情况限制其参与泰顺县所属国有企业采购活动。</w:t>
      </w:r>
    </w:p>
    <w:p w14:paraId="7F40050B">
      <w:pPr>
        <w:pStyle w:val="19"/>
        <w:adjustRightInd w:val="0"/>
        <w:snapToGrid w:val="0"/>
        <w:spacing w:line="400" w:lineRule="exact"/>
        <w:ind w:firstLine="435" w:firstLineChars="197"/>
        <w:rPr>
          <w:rFonts w:hint="eastAsia" w:hAnsi="宋体"/>
          <w:b/>
          <w:bCs/>
          <w:color w:val="auto"/>
          <w:sz w:val="22"/>
          <w:szCs w:val="22"/>
          <w:highlight w:val="none"/>
        </w:rPr>
      </w:pPr>
      <w:r>
        <w:rPr>
          <w:rFonts w:hAnsi="宋体"/>
          <w:b/>
          <w:bCs/>
          <w:color w:val="auto"/>
          <w:sz w:val="22"/>
          <w:szCs w:val="22"/>
          <w:highlight w:val="none"/>
        </w:rPr>
        <w:t>4</w:t>
      </w:r>
      <w:r>
        <w:rPr>
          <w:rFonts w:hint="eastAsia" w:hAnsi="宋体"/>
          <w:b/>
          <w:bCs/>
          <w:color w:val="auto"/>
          <w:sz w:val="22"/>
          <w:szCs w:val="22"/>
          <w:highlight w:val="none"/>
        </w:rPr>
        <w:t>.履约保证金</w:t>
      </w:r>
    </w:p>
    <w:p w14:paraId="3900F512">
      <w:pPr>
        <w:widowControl/>
        <w:autoSpaceDE w:val="0"/>
        <w:autoSpaceDN w:val="0"/>
        <w:adjustRightInd w:val="0"/>
        <w:spacing w:line="400" w:lineRule="exact"/>
        <w:ind w:firstLine="440" w:firstLineChars="200"/>
        <w:textAlignment w:val="bottom"/>
        <w:rPr>
          <w:rFonts w:hint="eastAsia" w:ascii="宋体" w:hAnsi="宋体" w:eastAsia="宋体" w:cs="宋体"/>
          <w:color w:val="auto"/>
          <w:sz w:val="22"/>
          <w:highlight w:val="none"/>
          <w:lang w:eastAsia="zh-CN"/>
        </w:rPr>
      </w:pPr>
      <w:r>
        <w:rPr>
          <w:rFonts w:hint="eastAsia" w:ascii="宋体" w:cs="黑体"/>
          <w:color w:val="auto"/>
          <w:sz w:val="22"/>
          <w:szCs w:val="24"/>
          <w:highlight w:val="none"/>
          <w:lang w:eastAsia="zh-CN"/>
        </w:rPr>
        <w:t>合同签订后7日历天内，乙方应提供合同总金额1%的履约保证金。供应商以银行、保险公司出具保函形式提交履约保证金的，采购人不得拒收。</w:t>
      </w:r>
      <w:r>
        <w:rPr>
          <w:rFonts w:hint="eastAsia" w:ascii="宋体" w:hAnsi="宋体" w:cs="宋体"/>
          <w:color w:val="auto"/>
          <w:sz w:val="22"/>
          <w:highlight w:val="none"/>
          <w:lang w:eastAsia="zh-CN"/>
        </w:rPr>
        <w:t xml:space="preserve"> </w:t>
      </w:r>
    </w:p>
    <w:p w14:paraId="2D977C05">
      <w:pPr>
        <w:widowControl/>
        <w:autoSpaceDE w:val="0"/>
        <w:autoSpaceDN w:val="0"/>
        <w:adjustRightInd w:val="0"/>
        <w:spacing w:line="360" w:lineRule="auto"/>
        <w:ind w:firstLine="442" w:firstLineChars="200"/>
        <w:textAlignment w:val="bottom"/>
        <w:rPr>
          <w:rFonts w:hAnsi="宋体" w:cs="Arial"/>
          <w:b/>
          <w:bCs/>
          <w:color w:val="auto"/>
          <w:sz w:val="22"/>
          <w:szCs w:val="22"/>
          <w:highlight w:val="none"/>
        </w:rPr>
      </w:pPr>
      <w:r>
        <w:rPr>
          <w:rFonts w:hAnsi="宋体" w:cs="Arial"/>
          <w:b/>
          <w:bCs/>
          <w:color w:val="auto"/>
          <w:sz w:val="22"/>
          <w:szCs w:val="22"/>
          <w:highlight w:val="none"/>
        </w:rPr>
        <w:t>5.</w:t>
      </w:r>
      <w:r>
        <w:rPr>
          <w:rFonts w:hint="eastAsia" w:hAnsi="宋体" w:cs="Arial"/>
          <w:b/>
          <w:bCs/>
          <w:color w:val="auto"/>
          <w:sz w:val="22"/>
          <w:szCs w:val="22"/>
          <w:highlight w:val="none"/>
        </w:rPr>
        <w:t>招标代理服务费</w:t>
      </w:r>
    </w:p>
    <w:p w14:paraId="3BD0B9B9">
      <w:pPr>
        <w:autoSpaceDE w:val="0"/>
        <w:autoSpaceDN w:val="0"/>
        <w:adjustRightInd w:val="0"/>
        <w:snapToGrid w:val="0"/>
        <w:spacing w:line="400" w:lineRule="atLeast"/>
        <w:ind w:firstLine="459" w:firstLineChars="209"/>
        <w:textAlignment w:val="bottom"/>
        <w:rPr>
          <w:rFonts w:hint="eastAsia" w:ascii="宋体" w:hAnsi="宋体"/>
          <w:b/>
          <w:bCs/>
          <w:color w:val="auto"/>
          <w:sz w:val="36"/>
          <w:szCs w:val="36"/>
          <w:highlight w:val="none"/>
          <w:lang w:val="zh-CN"/>
        </w:rPr>
      </w:pPr>
      <w:r>
        <w:rPr>
          <w:rFonts w:hint="eastAsia" w:ascii="宋体" w:cs="宋体"/>
          <w:color w:val="auto"/>
          <w:sz w:val="22"/>
          <w:highlight w:val="none"/>
        </w:rPr>
        <w:t>本项目的招标代理服务费由招标代理机构向中标人收取，招标代理费根据《国家计委关于印发&lt;招标代理服务收费管理暂行办法&gt;的通知》（计价格[2002]1980号）货物类标准进行计算。</w:t>
      </w:r>
      <w:bookmarkStart w:id="204" w:name="_Toc499821127"/>
      <w:bookmarkEnd w:id="204"/>
    </w:p>
    <w:p w14:paraId="3EAEB220">
      <w:pPr>
        <w:tabs>
          <w:tab w:val="left" w:pos="1069"/>
          <w:tab w:val="left" w:pos="2352"/>
        </w:tabs>
        <w:adjustRightInd w:val="0"/>
        <w:snapToGrid w:val="0"/>
        <w:spacing w:line="400" w:lineRule="exact"/>
        <w:jc w:val="left"/>
        <w:rPr>
          <w:rFonts w:ascii="宋体" w:hAnsi="宋体" w:cs="宋体"/>
          <w:b/>
          <w:bCs/>
          <w:color w:val="auto"/>
          <w:sz w:val="22"/>
          <w:highlight w:val="none"/>
        </w:rPr>
      </w:pPr>
      <w:r>
        <w:rPr>
          <w:rFonts w:hint="eastAsia" w:ascii="宋体" w:hAnsi="宋体" w:cs="宋体"/>
          <w:b/>
          <w:bCs/>
          <w:color w:val="auto"/>
          <w:sz w:val="22"/>
          <w:highlight w:val="none"/>
        </w:rPr>
        <w:t>七、投诉质疑</w:t>
      </w:r>
    </w:p>
    <w:p w14:paraId="60A89E1F">
      <w:pPr>
        <w:pStyle w:val="80"/>
        <w:tabs>
          <w:tab w:val="left" w:pos="1069"/>
          <w:tab w:val="left" w:pos="2352"/>
        </w:tabs>
        <w:snapToGrid w:val="0"/>
        <w:spacing w:before="0" w:line="40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125C9F5F">
      <w:pPr>
        <w:pStyle w:val="80"/>
        <w:tabs>
          <w:tab w:val="left" w:pos="1069"/>
          <w:tab w:val="left" w:pos="2352"/>
        </w:tabs>
        <w:spacing w:before="0" w:line="400" w:lineRule="exact"/>
        <w:ind w:firstLine="0" w:firstLineChars="0"/>
        <w:rPr>
          <w:rFonts w:ascii="宋体" w:hAnsi="宋体" w:cs="宋体"/>
          <w:b/>
          <w:color w:val="auto"/>
          <w:sz w:val="22"/>
          <w:szCs w:val="22"/>
          <w:highlight w:val="none"/>
        </w:rPr>
      </w:pPr>
      <w:r>
        <w:rPr>
          <w:rFonts w:hint="eastAsia" w:ascii="宋体" w:hAnsi="宋体" w:cs="宋体"/>
          <w:b/>
          <w:color w:val="auto"/>
          <w:sz w:val="22"/>
          <w:szCs w:val="22"/>
          <w:highlight w:val="none"/>
        </w:rPr>
        <w:t>1.供应商询问</w:t>
      </w:r>
    </w:p>
    <w:p w14:paraId="6E796DB9">
      <w:pPr>
        <w:pStyle w:val="19"/>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lang w:val="zh-CN"/>
        </w:rPr>
        <w:t>供应商对政府采购活动事项有疑问的，可以向招标代理机构提出询问，招标代理机构将对供应商依法提出的询问作出答复，但答复的内容不得涉及商业秘密。</w:t>
      </w:r>
    </w:p>
    <w:p w14:paraId="75724B58">
      <w:pPr>
        <w:pStyle w:val="80"/>
        <w:tabs>
          <w:tab w:val="left" w:pos="1069"/>
          <w:tab w:val="left" w:pos="2352"/>
        </w:tabs>
        <w:spacing w:before="0" w:line="400" w:lineRule="exact"/>
        <w:ind w:firstLine="0" w:firstLineChars="0"/>
        <w:rPr>
          <w:rFonts w:ascii="宋体" w:hAnsi="宋体" w:cs="宋体"/>
          <w:b/>
          <w:color w:val="auto"/>
          <w:sz w:val="22"/>
          <w:szCs w:val="22"/>
          <w:highlight w:val="none"/>
        </w:rPr>
      </w:pPr>
      <w:r>
        <w:rPr>
          <w:rFonts w:hint="eastAsia" w:ascii="宋体" w:hAnsi="宋体" w:cs="宋体"/>
          <w:b/>
          <w:color w:val="auto"/>
          <w:sz w:val="22"/>
          <w:szCs w:val="22"/>
          <w:highlight w:val="none"/>
        </w:rPr>
        <w:t>2.供应商质疑</w:t>
      </w:r>
    </w:p>
    <w:p w14:paraId="36A2FD15">
      <w:pPr>
        <w:pStyle w:val="19"/>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2.1供应商认为</w:t>
      </w:r>
      <w:r>
        <w:rPr>
          <w:rFonts w:hint="eastAsia" w:hAnsi="宋体" w:cs="宋体"/>
          <w:color w:val="auto"/>
          <w:sz w:val="22"/>
          <w:szCs w:val="22"/>
          <w:highlight w:val="none"/>
          <w:lang w:val="en-US" w:eastAsia="zh-CN"/>
        </w:rPr>
        <w:t>招标文件</w:t>
      </w:r>
      <w:r>
        <w:rPr>
          <w:rFonts w:hint="eastAsia" w:hAnsi="宋体" w:cs="宋体"/>
          <w:color w:val="auto"/>
          <w:sz w:val="22"/>
          <w:szCs w:val="22"/>
          <w:highlight w:val="none"/>
        </w:rPr>
        <w:t>、采购过程和中标、成交结果使自己的权益受到损害的，可以在知道或者应知其权益受到损害之日起七个工作日内，以书面形式向采购人、采购代理机构提出质疑，</w:t>
      </w:r>
      <w:r>
        <w:rPr>
          <w:rFonts w:hint="eastAsia" w:hAnsi="宋体" w:cs="宋体"/>
          <w:color w:val="auto"/>
          <w:sz w:val="22"/>
          <w:szCs w:val="22"/>
          <w:highlight w:val="none"/>
          <w:lang w:val="zh-CN"/>
        </w:rPr>
        <w:t>否则，不予受理：</w:t>
      </w:r>
    </w:p>
    <w:p w14:paraId="497FAC48">
      <w:pPr>
        <w:pStyle w:val="19"/>
        <w:tabs>
          <w:tab w:val="left" w:pos="1069"/>
          <w:tab w:val="left" w:pos="2352"/>
        </w:tabs>
        <w:spacing w:line="400" w:lineRule="exact"/>
        <w:rPr>
          <w:rFonts w:hAnsi="宋体" w:cs="宋体"/>
          <w:color w:val="auto"/>
          <w:sz w:val="22"/>
          <w:szCs w:val="22"/>
          <w:highlight w:val="none"/>
        </w:rPr>
      </w:pPr>
      <w:r>
        <w:rPr>
          <w:rFonts w:hint="eastAsia" w:hAnsi="宋体" w:cs="宋体"/>
          <w:color w:val="auto"/>
          <w:sz w:val="22"/>
          <w:szCs w:val="22"/>
          <w:highlight w:val="none"/>
        </w:rPr>
        <w:t xml:space="preserve">   （1）供应商如认为招标公告信息使自身的合法权益受到损害的，应于自招标公告发布之日起七个工作内以书面形式向招标代理机构提出质疑；</w:t>
      </w:r>
    </w:p>
    <w:p w14:paraId="6A52028F">
      <w:pPr>
        <w:pStyle w:val="19"/>
        <w:tabs>
          <w:tab w:val="left" w:pos="1069"/>
          <w:tab w:val="left" w:pos="2352"/>
        </w:tabs>
        <w:spacing w:line="400" w:lineRule="exact"/>
        <w:rPr>
          <w:rFonts w:hAnsi="宋体" w:cs="宋体"/>
          <w:color w:val="auto"/>
          <w:sz w:val="22"/>
          <w:szCs w:val="22"/>
          <w:highlight w:val="none"/>
        </w:rPr>
      </w:pPr>
      <w:r>
        <w:rPr>
          <w:rFonts w:hint="eastAsia" w:hAnsi="宋体" w:cs="宋体"/>
          <w:color w:val="auto"/>
          <w:sz w:val="22"/>
          <w:szCs w:val="22"/>
          <w:highlight w:val="none"/>
        </w:rPr>
        <w:t xml:space="preserve">   （2）</w:t>
      </w:r>
      <w:r>
        <w:rPr>
          <w:rFonts w:hint="eastAsia" w:hAnsi="宋体" w:cs="宋体"/>
          <w:color w:val="auto"/>
          <w:sz w:val="22"/>
          <w:szCs w:val="22"/>
          <w:highlight w:val="none"/>
          <w:lang w:val="zh-CN"/>
        </w:rPr>
        <w:t>对</w:t>
      </w:r>
      <w:r>
        <w:rPr>
          <w:rFonts w:hint="eastAsia" w:hAnsi="宋体" w:cs="宋体"/>
          <w:color w:val="auto"/>
          <w:sz w:val="22"/>
          <w:szCs w:val="22"/>
          <w:highlight w:val="none"/>
          <w:lang w:val="en-US" w:eastAsia="zh-CN"/>
        </w:rPr>
        <w:t>招标文件</w:t>
      </w:r>
      <w:r>
        <w:rPr>
          <w:rFonts w:hint="eastAsia" w:hAnsi="宋体" w:cs="宋体"/>
          <w:color w:val="auto"/>
          <w:sz w:val="22"/>
          <w:szCs w:val="22"/>
          <w:highlight w:val="none"/>
          <w:lang w:val="zh-CN"/>
        </w:rPr>
        <w:t>提出质疑的，质疑期限为供应商获得招标文件之日或者</w:t>
      </w:r>
      <w:r>
        <w:rPr>
          <w:rFonts w:hint="eastAsia" w:hAnsi="宋体" w:cs="宋体"/>
          <w:color w:val="auto"/>
          <w:sz w:val="22"/>
          <w:szCs w:val="22"/>
          <w:highlight w:val="none"/>
          <w:lang w:val="en-US" w:eastAsia="zh-CN"/>
        </w:rPr>
        <w:t>招标文件</w:t>
      </w:r>
      <w:r>
        <w:rPr>
          <w:rFonts w:hint="eastAsia" w:hAnsi="宋体" w:cs="宋体"/>
          <w:color w:val="auto"/>
          <w:sz w:val="22"/>
          <w:szCs w:val="22"/>
          <w:highlight w:val="none"/>
          <w:lang w:val="zh-CN"/>
        </w:rPr>
        <w:t>公告期限届满之日起计算。</w:t>
      </w:r>
    </w:p>
    <w:p w14:paraId="405FFA97">
      <w:pPr>
        <w:tabs>
          <w:tab w:val="left" w:pos="1069"/>
          <w:tab w:val="left" w:pos="2352"/>
        </w:tabs>
        <w:autoSpaceDE w:val="0"/>
        <w:autoSpaceDN w:val="0"/>
        <w:spacing w:line="400" w:lineRule="exact"/>
        <w:jc w:val="left"/>
        <w:rPr>
          <w:rFonts w:ascii="宋体" w:hAnsi="宋体" w:cs="宋体"/>
          <w:color w:val="auto"/>
          <w:kern w:val="0"/>
          <w:sz w:val="22"/>
          <w:highlight w:val="none"/>
          <w:lang w:val="zh-CN"/>
        </w:rPr>
      </w:pPr>
      <w:r>
        <w:rPr>
          <w:rFonts w:hint="eastAsia" w:ascii="宋体" w:hAnsi="宋体" w:cs="宋体"/>
          <w:color w:val="auto"/>
          <w:sz w:val="22"/>
          <w:highlight w:val="none"/>
        </w:rPr>
        <w:t xml:space="preserve">   （3）</w:t>
      </w:r>
      <w:r>
        <w:rPr>
          <w:rFonts w:hint="eastAsia" w:ascii="宋体" w:hAnsi="宋体" w:cs="宋体"/>
          <w:color w:val="auto"/>
          <w:kern w:val="0"/>
          <w:sz w:val="22"/>
          <w:highlight w:val="none"/>
          <w:lang w:val="zh-CN"/>
        </w:rPr>
        <w:t>对采购过程提出质疑的，质疑期限为各采购程序环节结束之日起计算。</w:t>
      </w:r>
    </w:p>
    <w:p w14:paraId="0B8D1765">
      <w:pPr>
        <w:pStyle w:val="19"/>
        <w:tabs>
          <w:tab w:val="left" w:pos="1069"/>
          <w:tab w:val="left" w:pos="2352"/>
        </w:tabs>
        <w:spacing w:line="400" w:lineRule="exact"/>
        <w:rPr>
          <w:rFonts w:hAnsi="宋体" w:cs="宋体"/>
          <w:color w:val="auto"/>
          <w:sz w:val="22"/>
          <w:szCs w:val="22"/>
          <w:highlight w:val="none"/>
        </w:rPr>
      </w:pPr>
      <w:r>
        <w:rPr>
          <w:rFonts w:hint="eastAsia" w:hAnsi="宋体" w:cs="宋体"/>
          <w:color w:val="auto"/>
          <w:sz w:val="22"/>
          <w:szCs w:val="22"/>
          <w:highlight w:val="none"/>
          <w:lang w:val="zh-CN"/>
        </w:rPr>
        <w:t xml:space="preserve">   （4）对采购结果提出质疑的，质疑期限自采购结果公告（包括公示、预公告、结果变更公告等）期限届满之日起计算。</w:t>
      </w:r>
    </w:p>
    <w:p w14:paraId="7937F4C8">
      <w:pPr>
        <w:pStyle w:val="19"/>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2.2供应商提交的质疑书需一式三份，由法定代表人签字（或盖章）并加盖单位公章。质疑书至少应包括下列主要内容：</w:t>
      </w:r>
    </w:p>
    <w:p w14:paraId="183C0F7B">
      <w:pPr>
        <w:pStyle w:val="19"/>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（1）供应商的名称、地址、邮政编码、联系人、联系电话；</w:t>
      </w:r>
    </w:p>
    <w:p w14:paraId="6F14C4CC">
      <w:pPr>
        <w:pStyle w:val="19"/>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（2）质疑项目的名称、编号；</w:t>
      </w:r>
    </w:p>
    <w:p w14:paraId="0580C54E">
      <w:pPr>
        <w:pStyle w:val="19"/>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（3）具体、明确的质疑事项和与质疑事项相关的请求；</w:t>
      </w:r>
    </w:p>
    <w:p w14:paraId="26C59DF8">
      <w:pPr>
        <w:pStyle w:val="19"/>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（4）事实依据；</w:t>
      </w:r>
    </w:p>
    <w:p w14:paraId="7CEDDFEC">
      <w:pPr>
        <w:pStyle w:val="19"/>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（5）必要的法律依据；</w:t>
      </w:r>
    </w:p>
    <w:p w14:paraId="7E0C8179">
      <w:pPr>
        <w:pStyle w:val="19"/>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（6）提出质疑的日期。</w:t>
      </w:r>
    </w:p>
    <w:p w14:paraId="75A60D62">
      <w:pPr>
        <w:pStyle w:val="19"/>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供应商为自然人的，应当由本人签字；供应商为法人或其他组织的，应当由法定代表人、主要负责人，或者其授权代表签字或者盖章，并加盖公章。</w:t>
      </w:r>
    </w:p>
    <w:p w14:paraId="559CDD3F">
      <w:pPr>
        <w:pStyle w:val="19"/>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2.3采购人、采购代理机构应当在收到供应商的书面质疑后七个工作日内作出答复，并以书面形式通知质疑供应商和其他有关供应商，但答复的内容不得涉及商业秘密。</w:t>
      </w:r>
    </w:p>
    <w:p w14:paraId="1661E8A5">
      <w:pPr>
        <w:pStyle w:val="80"/>
        <w:tabs>
          <w:tab w:val="left" w:pos="1069"/>
          <w:tab w:val="left" w:pos="2352"/>
        </w:tabs>
        <w:spacing w:before="0" w:line="400" w:lineRule="exact"/>
        <w:ind w:firstLine="0" w:firstLineChars="0"/>
        <w:rPr>
          <w:rFonts w:ascii="宋体" w:hAnsi="宋体" w:cs="宋体"/>
          <w:b/>
          <w:color w:val="auto"/>
          <w:sz w:val="22"/>
          <w:szCs w:val="22"/>
          <w:highlight w:val="none"/>
        </w:rPr>
      </w:pPr>
      <w:r>
        <w:rPr>
          <w:rFonts w:hint="eastAsia" w:ascii="宋体" w:hAnsi="宋体" w:cs="宋体"/>
          <w:b/>
          <w:color w:val="auto"/>
          <w:sz w:val="22"/>
          <w:szCs w:val="22"/>
          <w:highlight w:val="none"/>
        </w:rPr>
        <w:t>3.供应商投诉</w:t>
      </w:r>
    </w:p>
    <w:p w14:paraId="2516938A">
      <w:pPr>
        <w:pStyle w:val="19"/>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3.1供应商投诉应当提交投诉书和必要的证明材料。供应商投诉的事项不得超出已质疑事项的范围（基于质疑答复内容提出的投诉事项除外）。</w:t>
      </w:r>
    </w:p>
    <w:p w14:paraId="537CB81E">
      <w:pPr>
        <w:pStyle w:val="19"/>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3.2质疑供应商对采购人、采购代理机构的答复不满意或者采购人、采购代理机构未在规定的时间内作出答复的，可以在答复期满后十五个工作日内向同级财政部门提出投诉。</w:t>
      </w:r>
    </w:p>
    <w:p w14:paraId="0D778525">
      <w:pPr>
        <w:pStyle w:val="10"/>
        <w:tabs>
          <w:tab w:val="left" w:pos="1069"/>
          <w:tab w:val="left" w:pos="2352"/>
        </w:tabs>
        <w:ind w:left="0" w:leftChars="0" w:firstLine="0" w:firstLineChars="0"/>
        <w:rPr>
          <w:rFonts w:ascii="宋体" w:hAnsi="宋体"/>
          <w:b/>
          <w:bCs/>
          <w:color w:val="auto"/>
          <w:highlight w:val="none"/>
        </w:rPr>
      </w:pPr>
      <w:r>
        <w:rPr>
          <w:rFonts w:hint="eastAsia" w:ascii="宋体" w:hAnsi="宋体"/>
          <w:color w:val="auto"/>
          <w:highlight w:val="none"/>
        </w:rPr>
        <w:t>质疑函范本、投诉书范本请至浙江省政府采购网下载专区下载。</w:t>
      </w:r>
    </w:p>
    <w:p w14:paraId="7836B101">
      <w:pPr>
        <w:pStyle w:val="14"/>
        <w:rPr>
          <w:rFonts w:hint="eastAsia"/>
          <w:lang w:val="zh-CN"/>
        </w:rPr>
        <w:sectPr>
          <w:headerReference r:id="rId8" w:type="default"/>
          <w:footerReference r:id="rId9" w:type="default"/>
          <w:pgSz w:w="11906" w:h="16838"/>
          <w:pgMar w:top="1276" w:right="1106" w:bottom="1440" w:left="1622" w:header="720" w:footer="720" w:gutter="0"/>
          <w:pgNumType w:start="89"/>
          <w:cols w:space="720" w:num="1"/>
          <w:docGrid w:type="lines" w:linePitch="312" w:charSpace="0"/>
        </w:sectPr>
      </w:pPr>
    </w:p>
    <w:p w14:paraId="2B322AAB">
      <w:pPr>
        <w:tabs>
          <w:tab w:val="left" w:pos="1080"/>
        </w:tabs>
        <w:autoSpaceDE w:val="0"/>
        <w:autoSpaceDN w:val="0"/>
        <w:adjustRightInd w:val="0"/>
        <w:spacing w:line="500" w:lineRule="atLeast"/>
        <w:ind w:firstLine="1807" w:firstLineChars="500"/>
        <w:jc w:val="both"/>
        <w:textAlignment w:val="baseline"/>
        <w:outlineLvl w:val="0"/>
        <w:rPr>
          <w:rFonts w:hint="eastAsia" w:ascii="宋体" w:hAnsi="宋体"/>
          <w:b/>
          <w:bCs/>
          <w:color w:val="auto"/>
          <w:sz w:val="36"/>
          <w:szCs w:val="36"/>
          <w:highlight w:val="none"/>
          <w:lang w:val="zh-CN"/>
        </w:rPr>
      </w:pPr>
      <w:r>
        <w:rPr>
          <w:rFonts w:hint="eastAsia" w:ascii="宋体" w:hAnsi="宋体"/>
          <w:b/>
          <w:bCs/>
          <w:color w:val="auto"/>
          <w:sz w:val="36"/>
          <w:szCs w:val="36"/>
          <w:highlight w:val="none"/>
          <w:lang w:val="zh-CN"/>
        </w:rPr>
        <w:t>第四部分 国有企业采购政策功能相关说明</w:t>
      </w:r>
      <w:bookmarkStart w:id="205" w:name="_Toc10483_WPSOffice_Level2"/>
    </w:p>
    <w:p w14:paraId="143970CC">
      <w:pPr>
        <w:spacing w:line="400" w:lineRule="exact"/>
        <w:rPr>
          <w:rFonts w:ascii="宋体" w:hAnsi="宋体" w:eastAsia="宋体" w:cs="Times New Roman"/>
          <w:b w:val="0"/>
          <w:color w:val="auto"/>
          <w:kern w:val="2"/>
          <w:sz w:val="22"/>
          <w:szCs w:val="24"/>
          <w:highlight w:val="none"/>
        </w:rPr>
      </w:pPr>
      <w:r>
        <w:rPr>
          <w:rFonts w:hint="eastAsia" w:ascii="宋体" w:hAnsi="宋体" w:eastAsia="宋体" w:cs="Times New Roman"/>
          <w:b w:val="0"/>
          <w:color w:val="auto"/>
          <w:kern w:val="2"/>
          <w:sz w:val="22"/>
          <w:szCs w:val="24"/>
          <w:highlight w:val="none"/>
        </w:rPr>
        <w:t>一、小、微企业（含监狱企业、残疾人福利单位）扶持政策说明</w:t>
      </w:r>
    </w:p>
    <w:p w14:paraId="3EDE30C3">
      <w:pPr>
        <w:spacing w:line="400" w:lineRule="exact"/>
        <w:rPr>
          <w:rFonts w:ascii="宋体" w:hAnsi="宋体" w:eastAsia="宋体" w:cs="Times New Roman"/>
          <w:b w:val="0"/>
          <w:color w:val="auto"/>
          <w:kern w:val="2"/>
          <w:sz w:val="22"/>
          <w:szCs w:val="24"/>
          <w:highlight w:val="none"/>
        </w:rPr>
      </w:pPr>
      <w:r>
        <w:rPr>
          <w:rFonts w:hint="eastAsia" w:ascii="宋体" w:hAnsi="宋体" w:eastAsia="宋体" w:cs="Times New Roman"/>
          <w:b w:val="0"/>
          <w:color w:val="auto"/>
          <w:kern w:val="2"/>
          <w:sz w:val="22"/>
          <w:szCs w:val="24"/>
          <w:highlight w:val="none"/>
        </w:rPr>
        <w:t>1、文件依据</w:t>
      </w:r>
    </w:p>
    <w:p w14:paraId="4DBEBF61">
      <w:pPr>
        <w:spacing w:line="400" w:lineRule="exact"/>
        <w:rPr>
          <w:rFonts w:ascii="宋体" w:hAnsi="宋体" w:eastAsia="宋体" w:cs="Times New Roman"/>
          <w:b w:val="0"/>
          <w:color w:val="auto"/>
          <w:kern w:val="2"/>
          <w:sz w:val="22"/>
          <w:szCs w:val="24"/>
          <w:highlight w:val="none"/>
        </w:rPr>
      </w:pPr>
      <w:r>
        <w:rPr>
          <w:rFonts w:hint="eastAsia" w:ascii="宋体" w:hAnsi="宋体" w:eastAsia="宋体" w:cs="Times New Roman"/>
          <w:b w:val="0"/>
          <w:color w:val="auto"/>
          <w:kern w:val="2"/>
          <w:sz w:val="22"/>
          <w:szCs w:val="24"/>
          <w:highlight w:val="none"/>
        </w:rPr>
        <w:t>（1）《政府采购促进中小企业发展管理办法》（财库﹝2020﹞46 号）</w:t>
      </w:r>
    </w:p>
    <w:p w14:paraId="47251998">
      <w:pPr>
        <w:spacing w:line="400" w:lineRule="exact"/>
        <w:rPr>
          <w:rFonts w:ascii="宋体" w:hAnsi="宋体" w:eastAsia="宋体" w:cs="Times New Roman"/>
          <w:b w:val="0"/>
          <w:color w:val="auto"/>
          <w:kern w:val="2"/>
          <w:sz w:val="22"/>
          <w:szCs w:val="24"/>
          <w:highlight w:val="none"/>
        </w:rPr>
      </w:pPr>
      <w:r>
        <w:rPr>
          <w:rFonts w:hint="eastAsia" w:ascii="宋体" w:hAnsi="宋体" w:eastAsia="宋体" w:cs="Times New Roman"/>
          <w:b w:val="0"/>
          <w:color w:val="auto"/>
          <w:kern w:val="2"/>
          <w:sz w:val="22"/>
          <w:szCs w:val="24"/>
          <w:highlight w:val="none"/>
        </w:rPr>
        <w:t>（2）浙江省省财政厅《关于开展政府采购供应商网上注册登记和诚信管理工作的通知》（浙财采监〔2010〕8号)</w:t>
      </w:r>
    </w:p>
    <w:p w14:paraId="37F37A50">
      <w:pPr>
        <w:spacing w:line="400" w:lineRule="exact"/>
        <w:rPr>
          <w:rFonts w:ascii="宋体" w:hAnsi="宋体" w:eastAsia="宋体" w:cs="Times New Roman"/>
          <w:b w:val="0"/>
          <w:color w:val="auto"/>
          <w:kern w:val="2"/>
          <w:sz w:val="22"/>
          <w:szCs w:val="24"/>
          <w:highlight w:val="none"/>
        </w:rPr>
      </w:pPr>
      <w:r>
        <w:rPr>
          <w:rFonts w:hint="eastAsia" w:ascii="宋体" w:hAnsi="宋体" w:eastAsia="宋体" w:cs="Times New Roman"/>
          <w:b w:val="0"/>
          <w:color w:val="auto"/>
          <w:kern w:val="2"/>
          <w:sz w:val="22"/>
          <w:szCs w:val="24"/>
          <w:highlight w:val="none"/>
        </w:rPr>
        <w:t>（3）《工业和信息化部、国家统计局、国家发展和改革委员会、财政部关于印发中小企业划型标准规定的通知》（工信部联企业[2011]300号）</w:t>
      </w:r>
    </w:p>
    <w:p w14:paraId="2C4D0D5A">
      <w:pPr>
        <w:spacing w:line="400" w:lineRule="exact"/>
        <w:rPr>
          <w:rFonts w:ascii="宋体" w:hAnsi="宋体" w:eastAsia="宋体" w:cs="Times New Roman"/>
          <w:b w:val="0"/>
          <w:color w:val="auto"/>
          <w:kern w:val="2"/>
          <w:sz w:val="22"/>
          <w:szCs w:val="24"/>
          <w:highlight w:val="none"/>
        </w:rPr>
      </w:pPr>
      <w:r>
        <w:rPr>
          <w:rFonts w:hint="eastAsia" w:ascii="宋体" w:hAnsi="宋体" w:eastAsia="宋体" w:cs="Times New Roman"/>
          <w:b w:val="0"/>
          <w:color w:val="auto"/>
          <w:kern w:val="2"/>
          <w:sz w:val="22"/>
          <w:szCs w:val="24"/>
          <w:highlight w:val="none"/>
        </w:rPr>
        <w:t>（4）财政部、司法部《关于政府采购支持监狱企业发展有关问题的通知》（财库〔2014〕68号）</w:t>
      </w:r>
    </w:p>
    <w:p w14:paraId="27B7E96A">
      <w:pPr>
        <w:spacing w:line="400" w:lineRule="exact"/>
        <w:rPr>
          <w:rFonts w:ascii="宋体" w:hAnsi="宋体" w:eastAsia="宋体" w:cs="Times New Roman"/>
          <w:b w:val="0"/>
          <w:color w:val="auto"/>
          <w:kern w:val="2"/>
          <w:sz w:val="22"/>
          <w:szCs w:val="24"/>
          <w:highlight w:val="none"/>
        </w:rPr>
      </w:pPr>
      <w:r>
        <w:rPr>
          <w:rFonts w:hint="eastAsia" w:ascii="宋体" w:hAnsi="宋体" w:eastAsia="宋体" w:cs="Times New Roman"/>
          <w:b w:val="0"/>
          <w:color w:val="auto"/>
          <w:kern w:val="2"/>
          <w:sz w:val="22"/>
          <w:szCs w:val="24"/>
          <w:highlight w:val="none"/>
        </w:rPr>
        <w:t>（5）《财政部民政部中国残疾人联合会关于促进残疾人就业政府采购政策的通知》（财库〔2017〕 141号）</w:t>
      </w:r>
    </w:p>
    <w:p w14:paraId="4A20191A">
      <w:pPr>
        <w:spacing w:line="400" w:lineRule="exact"/>
        <w:rPr>
          <w:rFonts w:ascii="宋体" w:hAnsi="宋体" w:eastAsia="宋体" w:cs="Times New Roman"/>
          <w:b w:val="0"/>
          <w:color w:val="auto"/>
          <w:kern w:val="2"/>
          <w:sz w:val="22"/>
          <w:szCs w:val="24"/>
          <w:highlight w:val="none"/>
        </w:rPr>
      </w:pPr>
      <w:r>
        <w:rPr>
          <w:rFonts w:hint="eastAsia" w:ascii="宋体" w:hAnsi="宋体" w:eastAsia="宋体" w:cs="Times New Roman"/>
          <w:b w:val="0"/>
          <w:color w:val="auto"/>
          <w:kern w:val="2"/>
          <w:sz w:val="22"/>
          <w:szCs w:val="24"/>
          <w:highlight w:val="none"/>
        </w:rPr>
        <w:t>（6）《浙江省财政厅关于进一步发挥政府采购政策 功能全力推动经济稳进提质的通知》（浙财采监〔2022〕3号）</w:t>
      </w:r>
    </w:p>
    <w:p w14:paraId="2340D6F1">
      <w:pPr>
        <w:spacing w:line="400" w:lineRule="exact"/>
        <w:rPr>
          <w:rFonts w:ascii="宋体" w:hAnsi="宋体" w:eastAsia="宋体" w:cs="Times New Roman"/>
          <w:b w:val="0"/>
          <w:color w:val="auto"/>
          <w:kern w:val="2"/>
          <w:sz w:val="22"/>
          <w:szCs w:val="24"/>
          <w:highlight w:val="none"/>
        </w:rPr>
      </w:pPr>
      <w:r>
        <w:rPr>
          <w:rFonts w:hint="eastAsia" w:ascii="宋体" w:hAnsi="宋体" w:eastAsia="宋体" w:cs="Times New Roman"/>
          <w:b w:val="0"/>
          <w:color w:val="auto"/>
          <w:kern w:val="2"/>
          <w:sz w:val="22"/>
          <w:szCs w:val="24"/>
          <w:highlight w:val="none"/>
        </w:rPr>
        <w:t>（7）根据《江省财政厅关于进一步加大政府采购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03F5A006">
      <w:pPr>
        <w:spacing w:line="400" w:lineRule="exact"/>
        <w:rPr>
          <w:rFonts w:ascii="宋体" w:hAnsi="宋体" w:eastAsia="宋体" w:cs="Times New Roman"/>
          <w:b w:val="0"/>
          <w:color w:val="auto"/>
          <w:kern w:val="2"/>
          <w:sz w:val="22"/>
          <w:szCs w:val="24"/>
          <w:highlight w:val="none"/>
        </w:rPr>
      </w:pPr>
      <w:r>
        <w:rPr>
          <w:rFonts w:hint="eastAsia" w:ascii="宋体" w:hAnsi="宋体" w:eastAsia="宋体" w:cs="Times New Roman"/>
          <w:b w:val="0"/>
          <w:color w:val="auto"/>
          <w:kern w:val="2"/>
          <w:sz w:val="22"/>
          <w:szCs w:val="24"/>
          <w:highlight w:val="none"/>
        </w:rPr>
        <w:t>2、本项目对小型和微型企业产品的价格给予扣除10%，按扣除后的价格参与评审。享受小微企业价格折扣应提供以下证明材料（报价文件中）：</w:t>
      </w:r>
    </w:p>
    <w:p w14:paraId="0481FBF6">
      <w:pPr>
        <w:spacing w:line="400" w:lineRule="exact"/>
        <w:rPr>
          <w:rFonts w:ascii="宋体" w:hAnsi="宋体" w:eastAsia="宋体" w:cs="Times New Roman"/>
          <w:b w:val="0"/>
          <w:color w:val="auto"/>
          <w:kern w:val="2"/>
          <w:sz w:val="22"/>
          <w:szCs w:val="24"/>
          <w:highlight w:val="none"/>
        </w:rPr>
      </w:pPr>
      <w:r>
        <w:rPr>
          <w:rFonts w:hint="eastAsia" w:ascii="宋体" w:hAnsi="宋体" w:eastAsia="宋体" w:cs="Times New Roman"/>
          <w:b w:val="0"/>
          <w:color w:val="auto"/>
          <w:kern w:val="2"/>
          <w:sz w:val="22"/>
          <w:szCs w:val="24"/>
          <w:highlight w:val="none"/>
        </w:rPr>
        <w:t>中小企业声明函（货物）（原件，加盖供应商公章，格式见附件1）</w:t>
      </w:r>
    </w:p>
    <w:p w14:paraId="37ABAEEC">
      <w:pPr>
        <w:spacing w:line="400" w:lineRule="exact"/>
        <w:rPr>
          <w:rFonts w:ascii="宋体" w:hAnsi="宋体" w:eastAsia="宋体" w:cs="Times New Roman"/>
          <w:b w:val="0"/>
          <w:color w:val="auto"/>
          <w:kern w:val="2"/>
          <w:sz w:val="22"/>
          <w:szCs w:val="24"/>
          <w:highlight w:val="none"/>
        </w:rPr>
      </w:pPr>
      <w:r>
        <w:rPr>
          <w:rFonts w:hint="eastAsia" w:ascii="宋体" w:hAnsi="宋体" w:eastAsia="宋体" w:cs="Times New Roman"/>
          <w:b w:val="0"/>
          <w:color w:val="auto"/>
          <w:kern w:val="2"/>
          <w:sz w:val="22"/>
          <w:szCs w:val="24"/>
          <w:highlight w:val="none"/>
        </w:rPr>
        <w:t xml:space="preserve">3、享受监狱企业价格折扣应提供以下证明材料（投标文件技术资信标中，不提供的不享受价格折扣）： </w:t>
      </w:r>
    </w:p>
    <w:p w14:paraId="395C3C4C">
      <w:pPr>
        <w:spacing w:line="400" w:lineRule="exact"/>
        <w:rPr>
          <w:rFonts w:ascii="宋体" w:hAnsi="宋体" w:eastAsia="宋体" w:cs="Times New Roman"/>
          <w:b w:val="0"/>
          <w:color w:val="auto"/>
          <w:kern w:val="2"/>
          <w:sz w:val="22"/>
          <w:szCs w:val="24"/>
          <w:highlight w:val="none"/>
        </w:rPr>
      </w:pPr>
      <w:r>
        <w:rPr>
          <w:rFonts w:hint="eastAsia" w:ascii="宋体" w:hAnsi="宋体" w:eastAsia="宋体" w:cs="Times New Roman"/>
          <w:b w:val="0"/>
          <w:color w:val="auto"/>
          <w:kern w:val="2"/>
          <w:sz w:val="22"/>
          <w:szCs w:val="24"/>
          <w:highlight w:val="none"/>
        </w:rPr>
        <w:t>（1）监狱企业参加政府采购活动时，应当提供由省级以上监狱管理局、戒毒管理局(含新疆生产建设兵团)出具的属于监狱企业的证明文件（原件或复印件加盖公章）。在采购活动中，监狱企业视同小型、微型企业，享受评审中价格扣除政策。</w:t>
      </w:r>
    </w:p>
    <w:p w14:paraId="1A9C7899">
      <w:pPr>
        <w:spacing w:line="400" w:lineRule="exact"/>
        <w:rPr>
          <w:rFonts w:ascii="宋体" w:hAnsi="宋体" w:eastAsia="宋体" w:cs="Times New Roman"/>
          <w:b w:val="0"/>
          <w:color w:val="auto"/>
          <w:kern w:val="2"/>
          <w:sz w:val="22"/>
          <w:szCs w:val="24"/>
          <w:highlight w:val="none"/>
        </w:rPr>
      </w:pPr>
      <w:r>
        <w:rPr>
          <w:rFonts w:hint="eastAsia" w:ascii="宋体" w:hAnsi="宋体" w:eastAsia="宋体" w:cs="Times New Roman"/>
          <w:b w:val="0"/>
          <w:color w:val="auto"/>
          <w:kern w:val="2"/>
          <w:sz w:val="22"/>
          <w:szCs w:val="24"/>
          <w:highlight w:val="none"/>
        </w:rPr>
        <w:t xml:space="preserve">4、享受残疾人福利性单位格折扣应提供以下证明材料（投标文件技术资信标中，不提供的不享 </w:t>
      </w:r>
    </w:p>
    <w:p w14:paraId="3DAF946F">
      <w:pPr>
        <w:spacing w:line="400" w:lineRule="exact"/>
        <w:rPr>
          <w:rFonts w:hint="eastAsia" w:ascii="宋体"/>
          <w:b/>
          <w:bCs/>
          <w:color w:val="auto"/>
          <w:sz w:val="24"/>
          <w:szCs w:val="24"/>
          <w:highlight w:val="none"/>
        </w:rPr>
      </w:pPr>
      <w:r>
        <w:rPr>
          <w:rFonts w:hint="eastAsia" w:ascii="宋体" w:hAnsi="宋体" w:eastAsia="宋体" w:cs="Times New Roman"/>
          <w:b w:val="0"/>
          <w:color w:val="auto"/>
          <w:kern w:val="2"/>
          <w:sz w:val="22"/>
          <w:szCs w:val="24"/>
          <w:highlight w:val="none"/>
        </w:rPr>
        <w:t>受价格折扣）： 残疾人福利性单位声明函。</w:t>
      </w:r>
    </w:p>
    <w:p w14:paraId="52A0E545">
      <w:pPr>
        <w:widowControl w:val="0"/>
        <w:adjustRightInd w:val="0"/>
        <w:spacing w:line="420" w:lineRule="atLeast"/>
        <w:jc w:val="left"/>
        <w:textAlignment w:val="baseline"/>
        <w:rPr>
          <w:rFonts w:hint="eastAsia" w:ascii="宋体" w:hAnsi="宋体" w:eastAsia="宋体" w:cs="Times New Roman"/>
          <w:b w:val="0"/>
          <w:color w:val="auto"/>
          <w:kern w:val="2"/>
          <w:sz w:val="22"/>
          <w:szCs w:val="24"/>
          <w:highlight w:val="none"/>
          <w:lang w:val="en-US" w:eastAsia="zh-CN" w:bidi="ar-SA"/>
        </w:rPr>
      </w:pPr>
      <w:r>
        <w:rPr>
          <w:rFonts w:hint="eastAsia" w:ascii="宋体" w:hAnsi="宋体" w:eastAsia="宋体" w:cs="Times New Roman"/>
          <w:b w:val="0"/>
          <w:color w:val="auto"/>
          <w:kern w:val="2"/>
          <w:sz w:val="22"/>
          <w:szCs w:val="24"/>
          <w:highlight w:val="none"/>
          <w:lang w:val="en-US" w:eastAsia="zh-CN" w:bidi="ar-SA"/>
        </w:rPr>
        <w:t>5、本项目采购文件明确采购的标的所属行业为</w:t>
      </w:r>
      <w:r>
        <w:rPr>
          <w:rFonts w:hint="eastAsia" w:ascii="宋体" w:hAnsi="宋体" w:cs="Times New Roman"/>
          <w:b w:val="0"/>
          <w:color w:val="auto"/>
          <w:kern w:val="2"/>
          <w:sz w:val="22"/>
          <w:szCs w:val="24"/>
          <w:highlight w:val="none"/>
          <w:lang w:val="en-US" w:eastAsia="zh-CN" w:bidi="ar-SA"/>
        </w:rPr>
        <w:t>环保行业</w:t>
      </w:r>
      <w:r>
        <w:rPr>
          <w:rFonts w:hint="eastAsia" w:ascii="宋体" w:hAnsi="宋体" w:eastAsia="宋体" w:cs="Times New Roman"/>
          <w:b w:val="0"/>
          <w:color w:val="auto"/>
          <w:kern w:val="2"/>
          <w:sz w:val="22"/>
          <w:szCs w:val="24"/>
          <w:highlight w:val="none"/>
          <w:lang w:val="en-US" w:eastAsia="zh-CN" w:bidi="ar-SA"/>
        </w:rPr>
        <w:t>。</w:t>
      </w:r>
    </w:p>
    <w:p w14:paraId="6CBDDA40">
      <w:pPr>
        <w:pStyle w:val="3"/>
        <w:rPr>
          <w:rFonts w:hint="eastAsia"/>
          <w:color w:val="auto"/>
        </w:rPr>
        <w:sectPr>
          <w:pgSz w:w="11906" w:h="16838"/>
          <w:pgMar w:top="1276" w:right="1106" w:bottom="1440" w:left="1622" w:header="720" w:footer="720" w:gutter="0"/>
          <w:pgNumType w:start="89"/>
          <w:cols w:space="720" w:num="1"/>
          <w:docGrid w:type="lines" w:linePitch="312" w:charSpace="0"/>
        </w:sectPr>
      </w:pPr>
    </w:p>
    <w:p w14:paraId="52AB9AF9">
      <w:pPr>
        <w:spacing w:line="400" w:lineRule="exact"/>
        <w:rPr>
          <w:rFonts w:hint="eastAsia" w:ascii="宋体" w:hAnsi="宋体"/>
          <w:b/>
          <w:bCs/>
          <w:color w:val="auto"/>
          <w:sz w:val="22"/>
          <w:highlight w:val="none"/>
        </w:rPr>
      </w:pPr>
      <w:r>
        <w:rPr>
          <w:rFonts w:hint="eastAsia" w:ascii="宋体" w:hAnsi="宋体"/>
          <w:b/>
          <w:bCs/>
          <w:color w:val="auto"/>
          <w:sz w:val="22"/>
          <w:highlight w:val="none"/>
        </w:rPr>
        <w:t>附件1</w:t>
      </w:r>
    </w:p>
    <w:p w14:paraId="011C5461">
      <w:pPr>
        <w:jc w:val="center"/>
        <w:rPr>
          <w:color w:val="auto"/>
          <w:sz w:val="22"/>
          <w:highlight w:val="none"/>
          <w:u w:val="single"/>
        </w:rPr>
      </w:pPr>
      <w:r>
        <w:rPr>
          <w:rFonts w:ascii="宋体" w:hAnsi="宋体" w:cs="宋体"/>
          <w:b/>
          <w:bCs/>
          <w:color w:val="auto"/>
          <w:sz w:val="34"/>
          <w:szCs w:val="34"/>
          <w:highlight w:val="none"/>
        </w:rPr>
        <w:t>中小企业声明函（</w:t>
      </w:r>
      <w:r>
        <w:rPr>
          <w:rFonts w:hint="eastAsia" w:ascii="宋体" w:hAnsi="宋体" w:cs="宋体"/>
          <w:b/>
          <w:bCs/>
          <w:color w:val="auto"/>
          <w:sz w:val="34"/>
          <w:szCs w:val="34"/>
          <w:highlight w:val="none"/>
        </w:rPr>
        <w:t>货物</w:t>
      </w:r>
      <w:r>
        <w:rPr>
          <w:rFonts w:ascii="宋体" w:hAnsi="宋体" w:cs="宋体"/>
          <w:b/>
          <w:bCs/>
          <w:color w:val="auto"/>
          <w:sz w:val="34"/>
          <w:szCs w:val="34"/>
          <w:highlight w:val="none"/>
        </w:rPr>
        <w:t>）</w:t>
      </w:r>
      <w:r>
        <w:rPr>
          <w:rFonts w:ascii="宋体" w:hAnsi="宋体" w:cs="宋体"/>
          <w:b/>
          <w:bCs/>
          <w:color w:val="auto"/>
          <w:sz w:val="34"/>
          <w:szCs w:val="34"/>
          <w:highlight w:val="none"/>
        </w:rPr>
        <w:br w:type="textWrapping"/>
      </w:r>
      <w:r>
        <w:rPr>
          <w:rFonts w:hint="eastAsia"/>
          <w:color w:val="auto"/>
          <w:sz w:val="22"/>
          <w:highlight w:val="none"/>
          <w:u w:val="single"/>
        </w:rPr>
        <w:t>【不属于中小企业的无需填写、递交】</w:t>
      </w:r>
    </w:p>
    <w:p w14:paraId="14F102B1">
      <w:pPr>
        <w:spacing w:line="400" w:lineRule="exact"/>
        <w:ind w:firstLine="440" w:firstLineChars="200"/>
        <w:rPr>
          <w:rFonts w:ascii="宋体" w:hAnsi="宋体" w:cs="宋体"/>
          <w:color w:val="auto"/>
          <w:sz w:val="22"/>
          <w:highlight w:val="none"/>
        </w:rPr>
      </w:pPr>
    </w:p>
    <w:p w14:paraId="6A54A956">
      <w:pPr>
        <w:spacing w:line="400" w:lineRule="exact"/>
        <w:ind w:firstLine="440" w:firstLineChars="200"/>
        <w:rPr>
          <w:rFonts w:ascii="宋体" w:hAnsi="宋体" w:cs="宋体"/>
          <w:color w:val="auto"/>
          <w:sz w:val="22"/>
          <w:highlight w:val="none"/>
        </w:rPr>
      </w:pPr>
      <w:r>
        <w:rPr>
          <w:rFonts w:ascii="宋体" w:hAnsi="宋体" w:cs="宋体"/>
          <w:color w:val="auto"/>
          <w:sz w:val="22"/>
          <w:highlight w:val="none"/>
        </w:rPr>
        <w:t>本公司（联合体）郑重声明，根据《政府采购促进中小企业发展管理办法》（财库﹝2020﹞46 号）的规定，本公司 （联合体）参加</w:t>
      </w:r>
      <w:r>
        <w:rPr>
          <w:rFonts w:ascii="宋体" w:hAnsi="宋体" w:cs="宋体"/>
          <w:color w:val="auto"/>
          <w:sz w:val="22"/>
          <w:highlight w:val="none"/>
          <w:u w:val="single"/>
        </w:rPr>
        <w:t>（单位名称）</w:t>
      </w:r>
      <w:r>
        <w:rPr>
          <w:rFonts w:ascii="宋体" w:hAnsi="宋体" w:cs="宋体"/>
          <w:color w:val="auto"/>
          <w:sz w:val="22"/>
          <w:highlight w:val="none"/>
        </w:rPr>
        <w:t>的</w:t>
      </w:r>
      <w:r>
        <w:rPr>
          <w:rFonts w:ascii="宋体" w:hAnsi="宋体" w:cs="宋体"/>
          <w:color w:val="auto"/>
          <w:sz w:val="22"/>
          <w:highlight w:val="none"/>
          <w:u w:val="single"/>
        </w:rPr>
        <w:t>（项目名称）</w:t>
      </w:r>
      <w:r>
        <w:rPr>
          <w:rFonts w:ascii="宋体" w:hAnsi="宋体" w:cs="宋体"/>
          <w:color w:val="auto"/>
          <w:sz w:val="22"/>
          <w:highlight w:val="none"/>
        </w:rPr>
        <w:t>采购活动，</w:t>
      </w:r>
      <w:r>
        <w:rPr>
          <w:rFonts w:hint="eastAsia" w:ascii="宋体" w:hAnsi="宋体" w:cs="宋体"/>
          <w:color w:val="auto"/>
          <w:sz w:val="22"/>
          <w:highlight w:val="none"/>
        </w:rPr>
        <w:t>提供的货物</w:t>
      </w:r>
      <w:r>
        <w:rPr>
          <w:rFonts w:ascii="宋体" w:hAnsi="宋体" w:cs="宋体"/>
          <w:color w:val="auto"/>
          <w:sz w:val="22"/>
          <w:highlight w:val="none"/>
        </w:rPr>
        <w:t>全部</w:t>
      </w:r>
      <w:r>
        <w:rPr>
          <w:rFonts w:hint="eastAsia" w:ascii="宋体" w:hAnsi="宋体" w:cs="宋体"/>
          <w:color w:val="auto"/>
          <w:sz w:val="22"/>
          <w:highlight w:val="none"/>
        </w:rPr>
        <w:t>由</w:t>
      </w:r>
      <w:r>
        <w:rPr>
          <w:rFonts w:ascii="宋体" w:hAnsi="宋体" w:cs="宋体"/>
          <w:color w:val="auto"/>
          <w:sz w:val="22"/>
          <w:highlight w:val="none"/>
        </w:rPr>
        <w:t>符合政策要求的中小企业</w:t>
      </w:r>
      <w:r>
        <w:rPr>
          <w:rFonts w:hint="eastAsia" w:ascii="宋体" w:hAnsi="宋体" w:cs="宋体"/>
          <w:color w:val="auto"/>
          <w:sz w:val="22"/>
          <w:highlight w:val="none"/>
        </w:rPr>
        <w:t>制造</w:t>
      </w:r>
      <w:r>
        <w:rPr>
          <w:rFonts w:ascii="宋体" w:hAnsi="宋体" w:cs="宋体"/>
          <w:color w:val="auto"/>
          <w:sz w:val="22"/>
          <w:highlight w:val="none"/>
        </w:rPr>
        <w:t xml:space="preserve">。相关企业（含联合体中的中小企业、签订分包意向协议的中小企业）的具体情况如下： </w:t>
      </w:r>
    </w:p>
    <w:p w14:paraId="6C1E9758">
      <w:pPr>
        <w:numPr>
          <w:ilvl w:val="0"/>
          <w:numId w:val="6"/>
        </w:numPr>
        <w:spacing w:line="400" w:lineRule="exact"/>
        <w:ind w:left="0" w:firstLine="440" w:firstLineChars="200"/>
        <w:rPr>
          <w:rFonts w:ascii="宋体" w:hAnsi="宋体" w:cs="宋体"/>
          <w:color w:val="auto"/>
          <w:sz w:val="22"/>
          <w:highlight w:val="none"/>
        </w:rPr>
      </w:pPr>
      <w:r>
        <w:rPr>
          <w:rFonts w:ascii="宋体" w:hAnsi="宋体" w:cs="宋体"/>
          <w:color w:val="auto"/>
          <w:sz w:val="22"/>
          <w:highlight w:val="none"/>
          <w:u w:val="single"/>
        </w:rPr>
        <w:t>（标的名称）</w:t>
      </w:r>
      <w:r>
        <w:rPr>
          <w:rFonts w:ascii="宋体" w:hAnsi="宋体" w:cs="宋体"/>
          <w:color w:val="auto"/>
          <w:sz w:val="22"/>
          <w:highlight w:val="none"/>
        </w:rPr>
        <w:t xml:space="preserve"> ，属于</w:t>
      </w:r>
      <w:r>
        <w:rPr>
          <w:rFonts w:ascii="宋体" w:hAnsi="宋体" w:cs="宋体"/>
          <w:color w:val="auto"/>
          <w:sz w:val="22"/>
          <w:highlight w:val="none"/>
          <w:u w:val="single"/>
        </w:rPr>
        <w:t>（</w:t>
      </w:r>
      <w:r>
        <w:rPr>
          <w:rFonts w:hint="eastAsia" w:ascii="宋体" w:hAnsi="宋体" w:cs="宋体"/>
          <w:color w:val="auto"/>
          <w:sz w:val="22"/>
          <w:highlight w:val="none"/>
          <w:u w:val="single"/>
          <w:lang w:eastAsia="zh-CN"/>
        </w:rPr>
        <w:t>工业</w:t>
      </w:r>
      <w:r>
        <w:rPr>
          <w:rFonts w:ascii="宋体" w:hAnsi="宋体" w:cs="宋体"/>
          <w:color w:val="auto"/>
          <w:sz w:val="22"/>
          <w:highlight w:val="none"/>
          <w:u w:val="single"/>
        </w:rPr>
        <w:t>）</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行业</w:t>
      </w:r>
      <w:r>
        <w:rPr>
          <w:rFonts w:ascii="宋体" w:hAnsi="宋体" w:cs="宋体"/>
          <w:color w:val="auto"/>
          <w:sz w:val="22"/>
          <w:highlight w:val="none"/>
        </w:rPr>
        <w:t xml:space="preserve">； </w:t>
      </w:r>
      <w:r>
        <w:rPr>
          <w:rFonts w:hint="eastAsia" w:ascii="宋体" w:hAnsi="宋体" w:cs="宋体"/>
          <w:color w:val="auto"/>
          <w:sz w:val="22"/>
          <w:highlight w:val="none"/>
        </w:rPr>
        <w:t>制造商</w:t>
      </w:r>
      <w:r>
        <w:rPr>
          <w:rFonts w:ascii="宋体" w:hAnsi="宋体" w:cs="宋体"/>
          <w:color w:val="auto"/>
          <w:sz w:val="22"/>
          <w:highlight w:val="none"/>
        </w:rPr>
        <w:t>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人，营业收入为</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 ，属于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72E18986">
      <w:pPr>
        <w:spacing w:line="400" w:lineRule="exact"/>
        <w:ind w:firstLine="440" w:firstLineChars="200"/>
        <w:rPr>
          <w:rFonts w:ascii="宋体" w:hAnsi="宋体" w:cs="宋体"/>
          <w:color w:val="auto"/>
          <w:sz w:val="22"/>
          <w:highlight w:val="none"/>
        </w:rPr>
      </w:pPr>
      <w:r>
        <w:rPr>
          <w:rFonts w:ascii="宋体" w:hAnsi="宋体" w:cs="宋体"/>
          <w:color w:val="auto"/>
          <w:sz w:val="22"/>
          <w:highlight w:val="none"/>
        </w:rPr>
        <w:t>2.</w:t>
      </w:r>
      <w:r>
        <w:rPr>
          <w:rFonts w:ascii="宋体" w:hAnsi="宋体" w:cs="宋体"/>
          <w:color w:val="auto"/>
          <w:sz w:val="22"/>
          <w:highlight w:val="none"/>
          <w:u w:val="single"/>
        </w:rPr>
        <w:t xml:space="preserve"> （标的名称）</w:t>
      </w:r>
      <w:r>
        <w:rPr>
          <w:rFonts w:ascii="宋体" w:hAnsi="宋体" w:cs="宋体"/>
          <w:color w:val="auto"/>
          <w:sz w:val="22"/>
          <w:highlight w:val="none"/>
        </w:rPr>
        <w:t xml:space="preserve"> ，属于</w:t>
      </w:r>
      <w:r>
        <w:rPr>
          <w:rFonts w:ascii="宋体" w:hAnsi="宋体" w:cs="宋体"/>
          <w:color w:val="auto"/>
          <w:sz w:val="22"/>
          <w:highlight w:val="none"/>
          <w:u w:val="single"/>
        </w:rPr>
        <w:t>（采购文件中明确的所属行业）</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行业</w:t>
      </w:r>
      <w:r>
        <w:rPr>
          <w:rFonts w:ascii="宋体" w:hAnsi="宋体" w:cs="宋体"/>
          <w:color w:val="auto"/>
          <w:sz w:val="22"/>
          <w:highlight w:val="none"/>
        </w:rPr>
        <w:t xml:space="preserve">； </w:t>
      </w:r>
      <w:r>
        <w:rPr>
          <w:rFonts w:hint="eastAsia" w:ascii="宋体" w:hAnsi="宋体" w:cs="宋体"/>
          <w:color w:val="auto"/>
          <w:sz w:val="22"/>
          <w:highlight w:val="none"/>
        </w:rPr>
        <w:t>制造商</w:t>
      </w:r>
      <w:r>
        <w:rPr>
          <w:rFonts w:ascii="宋体" w:hAnsi="宋体" w:cs="宋体"/>
          <w:color w:val="auto"/>
          <w:sz w:val="22"/>
          <w:highlight w:val="none"/>
        </w:rPr>
        <w:t>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人，营业收入为</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 ，属于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7B54A2FC">
      <w:pPr>
        <w:spacing w:line="400" w:lineRule="exact"/>
        <w:ind w:firstLine="440" w:firstLineChars="200"/>
        <w:rPr>
          <w:rFonts w:ascii="宋体" w:hAnsi="宋体" w:cs="宋体"/>
          <w:color w:val="auto"/>
          <w:sz w:val="22"/>
          <w:highlight w:val="none"/>
        </w:rPr>
      </w:pPr>
      <w:r>
        <w:rPr>
          <w:rFonts w:ascii="宋体" w:hAnsi="宋体" w:cs="宋体"/>
          <w:color w:val="auto"/>
          <w:sz w:val="22"/>
          <w:highlight w:val="none"/>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572DB746">
      <w:pPr>
        <w:spacing w:line="400" w:lineRule="exact"/>
        <w:ind w:firstLine="440" w:firstLineChars="200"/>
        <w:rPr>
          <w:rFonts w:ascii="宋体" w:hAnsi="宋体" w:cs="宋体"/>
          <w:color w:val="auto"/>
          <w:sz w:val="22"/>
          <w:highlight w:val="none"/>
        </w:rPr>
      </w:pPr>
      <w:r>
        <w:rPr>
          <w:rFonts w:ascii="宋体" w:hAnsi="宋体" w:cs="宋体"/>
          <w:color w:val="auto"/>
          <w:sz w:val="22"/>
          <w:highlight w:val="none"/>
        </w:rPr>
        <w:t xml:space="preserve">企业名称（盖章）： </w:t>
      </w:r>
    </w:p>
    <w:p w14:paraId="40B9AFBE">
      <w:pPr>
        <w:spacing w:line="400" w:lineRule="exact"/>
        <w:ind w:firstLine="440" w:firstLineChars="200"/>
        <w:rPr>
          <w:color w:val="auto"/>
          <w:highlight w:val="none"/>
        </w:rPr>
      </w:pPr>
      <w:r>
        <w:rPr>
          <w:rFonts w:ascii="宋体" w:hAnsi="宋体" w:cs="宋体"/>
          <w:color w:val="auto"/>
          <w:sz w:val="22"/>
          <w:highlight w:val="none"/>
        </w:rPr>
        <w:t>日 期：</w:t>
      </w:r>
    </w:p>
    <w:p w14:paraId="64B67E06">
      <w:pPr>
        <w:pBdr>
          <w:bottom w:val="single" w:color="auto" w:sz="6" w:space="1"/>
        </w:pBdr>
        <w:snapToGrid w:val="0"/>
        <w:spacing w:line="360" w:lineRule="auto"/>
        <w:ind w:firstLine="440" w:firstLineChars="200"/>
        <w:rPr>
          <w:color w:val="auto"/>
          <w:sz w:val="22"/>
          <w:highlight w:val="none"/>
        </w:rPr>
      </w:pPr>
    </w:p>
    <w:p w14:paraId="3DC780A3">
      <w:pPr>
        <w:pStyle w:val="100"/>
        <w:rPr>
          <w:color w:val="auto"/>
          <w:highlight w:val="none"/>
        </w:rPr>
      </w:pPr>
    </w:p>
    <w:p w14:paraId="1023BD32">
      <w:pPr>
        <w:spacing w:line="440" w:lineRule="atLeast"/>
        <w:jc w:val="left"/>
        <w:rPr>
          <w:rFonts w:ascii="宋体" w:hAnsi="宋体" w:cs="宋体"/>
          <w:color w:val="auto"/>
          <w:sz w:val="22"/>
          <w:highlight w:val="none"/>
        </w:rPr>
      </w:pPr>
      <w:r>
        <w:rPr>
          <w:rFonts w:hint="eastAsia" w:ascii="宋体" w:hAnsi="宋体" w:cs="宋体"/>
          <w:color w:val="auto"/>
          <w:sz w:val="22"/>
          <w:highlight w:val="none"/>
        </w:rPr>
        <w:t>填写说明：</w:t>
      </w:r>
    </w:p>
    <w:p w14:paraId="31B1C6CC">
      <w:pPr>
        <w:spacing w:line="440" w:lineRule="atLeast"/>
        <w:jc w:val="left"/>
        <w:rPr>
          <w:rFonts w:ascii="宋体" w:hAnsi="宋体" w:eastAsia="宋体" w:cs="宋体"/>
          <w:color w:val="auto"/>
          <w:sz w:val="22"/>
          <w:szCs w:val="24"/>
          <w:highlight w:val="none"/>
        </w:rPr>
      </w:pPr>
      <w:r>
        <w:rPr>
          <w:rFonts w:hint="eastAsia" w:ascii="宋体" w:hAnsi="宋体" w:eastAsia="宋体" w:cs="宋体"/>
          <w:color w:val="auto"/>
          <w:sz w:val="22"/>
          <w:szCs w:val="24"/>
          <w:highlight w:val="none"/>
          <w:lang w:eastAsia="zh-CN"/>
        </w:rPr>
        <w:t>（</w:t>
      </w:r>
      <w:r>
        <w:rPr>
          <w:rFonts w:hint="eastAsia" w:ascii="宋体" w:hAnsi="宋体" w:eastAsia="宋体" w:cs="宋体"/>
          <w:color w:val="auto"/>
          <w:sz w:val="22"/>
          <w:szCs w:val="24"/>
          <w:highlight w:val="none"/>
          <w:lang w:val="en-US" w:eastAsia="zh-CN"/>
        </w:rPr>
        <w:t>1</w:t>
      </w:r>
      <w:r>
        <w:rPr>
          <w:rFonts w:hint="eastAsia" w:ascii="宋体" w:hAnsi="宋体" w:eastAsia="宋体" w:cs="宋体"/>
          <w:color w:val="auto"/>
          <w:sz w:val="22"/>
          <w:szCs w:val="24"/>
          <w:highlight w:val="none"/>
          <w:lang w:eastAsia="zh-CN"/>
        </w:rPr>
        <w:t>）</w:t>
      </w:r>
      <w:r>
        <w:rPr>
          <w:rFonts w:hint="eastAsia" w:ascii="宋体" w:hAnsi="宋体" w:eastAsia="宋体" w:cs="宋体"/>
          <w:color w:val="auto"/>
          <w:sz w:val="22"/>
          <w:szCs w:val="24"/>
          <w:highlight w:val="none"/>
        </w:rPr>
        <w:t>从业人员、营业收入、资产总额填报上一年度数据，无上一年度数据的新成立企业可不填报。采购人或采购代理机构有可能在中标、成交结果公开中标、成交供应商的《中小企业声明函》。</w:t>
      </w:r>
    </w:p>
    <w:p w14:paraId="4300BC9C">
      <w:pPr>
        <w:spacing w:line="440" w:lineRule="atLeast"/>
        <w:jc w:val="left"/>
        <w:rPr>
          <w:rFonts w:ascii="宋体" w:hAnsi="宋体" w:eastAsia="宋体" w:cs="宋体"/>
          <w:b/>
          <w:bCs/>
          <w:color w:val="auto"/>
          <w:sz w:val="22"/>
          <w:szCs w:val="24"/>
          <w:highlight w:val="none"/>
        </w:rPr>
      </w:pPr>
      <w:r>
        <w:rPr>
          <w:rFonts w:hint="eastAsia" w:ascii="宋体" w:hAnsi="宋体" w:eastAsia="宋体" w:cs="宋体"/>
          <w:b/>
          <w:bCs/>
          <w:color w:val="auto"/>
          <w:sz w:val="22"/>
          <w:szCs w:val="24"/>
          <w:highlight w:val="none"/>
          <w:lang w:eastAsia="zh-CN"/>
        </w:rPr>
        <w:t>（</w:t>
      </w:r>
      <w:r>
        <w:rPr>
          <w:rFonts w:hint="eastAsia" w:ascii="宋体" w:hAnsi="宋体" w:eastAsia="宋体" w:cs="宋体"/>
          <w:b/>
          <w:bCs/>
          <w:color w:val="auto"/>
          <w:sz w:val="22"/>
          <w:szCs w:val="24"/>
          <w:highlight w:val="none"/>
          <w:lang w:val="en-US" w:eastAsia="zh-CN"/>
        </w:rPr>
        <w:t>2</w:t>
      </w:r>
      <w:r>
        <w:rPr>
          <w:rFonts w:hint="eastAsia" w:ascii="宋体" w:hAnsi="宋体" w:eastAsia="宋体" w:cs="宋体"/>
          <w:b/>
          <w:bCs/>
          <w:color w:val="auto"/>
          <w:sz w:val="22"/>
          <w:szCs w:val="24"/>
          <w:highlight w:val="none"/>
          <w:lang w:eastAsia="zh-CN"/>
        </w:rPr>
        <w:t>）</w:t>
      </w:r>
      <w:r>
        <w:rPr>
          <w:rFonts w:hint="eastAsia" w:ascii="宋体" w:hAnsi="宋体" w:eastAsia="宋体" w:cs="宋体"/>
          <w:b/>
          <w:bCs/>
          <w:color w:val="auto"/>
          <w:sz w:val="22"/>
          <w:szCs w:val="24"/>
          <w:highlight w:val="none"/>
          <w:u w:val="single"/>
        </w:rPr>
        <w:t>▲投标人提供的中小企业声明函与实际情况不符的，视为投标人提供虚假材料投标的，投标无效。</w:t>
      </w:r>
    </w:p>
    <w:p w14:paraId="38DCC943">
      <w:pPr>
        <w:spacing w:line="440" w:lineRule="atLeast"/>
        <w:jc w:val="left"/>
        <w:rPr>
          <w:rFonts w:hint="eastAsia" w:ascii="宋体"/>
          <w:b/>
          <w:bCs/>
          <w:color w:val="auto"/>
          <w:sz w:val="22"/>
          <w:highlight w:val="none"/>
        </w:rPr>
      </w:pPr>
    </w:p>
    <w:p w14:paraId="573A5299">
      <w:pPr>
        <w:rPr>
          <w:rFonts w:hint="eastAsia" w:ascii="宋体" w:hAnsi="宋体" w:eastAsia="宋体"/>
          <w:b/>
          <w:sz w:val="24"/>
          <w:szCs w:val="22"/>
        </w:rPr>
      </w:pPr>
      <w:r>
        <w:rPr>
          <w:rFonts w:hint="eastAsia" w:ascii="宋体" w:hAnsi="宋体" w:eastAsia="宋体"/>
          <w:b/>
          <w:sz w:val="24"/>
          <w:szCs w:val="22"/>
        </w:rPr>
        <w:br w:type="page"/>
      </w:r>
    </w:p>
    <w:p w14:paraId="04EF13A1">
      <w:pPr>
        <w:snapToGrid w:val="0"/>
        <w:spacing w:line="400" w:lineRule="atLeast"/>
        <w:jc w:val="center"/>
        <w:rPr>
          <w:rFonts w:ascii="宋体" w:hAnsi="宋体" w:eastAsia="宋体"/>
          <w:b/>
          <w:sz w:val="24"/>
          <w:szCs w:val="22"/>
        </w:rPr>
      </w:pPr>
      <w:r>
        <w:rPr>
          <w:rFonts w:hint="eastAsia" w:ascii="宋体" w:hAnsi="宋体" w:eastAsia="宋体"/>
          <w:b/>
          <w:sz w:val="24"/>
          <w:szCs w:val="22"/>
        </w:rPr>
        <w:t>残疾人福利性单位声明函（如有）</w:t>
      </w:r>
    </w:p>
    <w:p w14:paraId="2046195C">
      <w:pPr>
        <w:snapToGrid w:val="0"/>
        <w:spacing w:line="360" w:lineRule="auto"/>
        <w:ind w:firstLine="440" w:firstLineChars="200"/>
        <w:rPr>
          <w:rFonts w:ascii="Times New Roman" w:hAnsi="Times New Roman" w:eastAsia="宋体"/>
          <w:sz w:val="22"/>
          <w:szCs w:val="21"/>
        </w:rPr>
      </w:pPr>
    </w:p>
    <w:p w14:paraId="07B9A5DD">
      <w:pPr>
        <w:snapToGrid w:val="0"/>
        <w:spacing w:line="360" w:lineRule="auto"/>
        <w:ind w:firstLine="440" w:firstLineChars="200"/>
        <w:rPr>
          <w:rFonts w:ascii="Times New Roman" w:hAnsi="Times New Roman" w:eastAsia="宋体"/>
          <w:sz w:val="22"/>
          <w:szCs w:val="21"/>
        </w:rPr>
      </w:pPr>
      <w:r>
        <w:rPr>
          <w:rFonts w:hint="eastAsia" w:ascii="Times New Roman" w:hAnsi="Times New Roman" w:eastAsia="宋体"/>
          <w:sz w:val="22"/>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39E8398">
      <w:pPr>
        <w:snapToGrid w:val="0"/>
        <w:spacing w:line="360" w:lineRule="auto"/>
        <w:ind w:firstLine="440" w:firstLineChars="200"/>
        <w:rPr>
          <w:rFonts w:ascii="Times New Roman" w:hAnsi="Times New Roman" w:eastAsia="宋体"/>
          <w:sz w:val="22"/>
          <w:szCs w:val="21"/>
        </w:rPr>
      </w:pPr>
      <w:r>
        <w:rPr>
          <w:rFonts w:hint="eastAsia" w:ascii="Times New Roman" w:hAnsi="Times New Roman" w:eastAsia="宋体"/>
          <w:sz w:val="22"/>
          <w:szCs w:val="21"/>
        </w:rPr>
        <w:t>本单位对上述声明的真实性负责。如有虚假，将依法承担相应责任。</w:t>
      </w:r>
    </w:p>
    <w:p w14:paraId="2D0F8EEA">
      <w:pPr>
        <w:snapToGrid w:val="0"/>
        <w:spacing w:line="360" w:lineRule="auto"/>
        <w:ind w:firstLine="440" w:firstLineChars="200"/>
        <w:rPr>
          <w:rFonts w:ascii="Times New Roman" w:hAnsi="Times New Roman" w:eastAsia="宋体"/>
          <w:sz w:val="22"/>
          <w:szCs w:val="21"/>
        </w:rPr>
      </w:pPr>
    </w:p>
    <w:p w14:paraId="3D8B9AA2">
      <w:pPr>
        <w:tabs>
          <w:tab w:val="left" w:pos="4860"/>
        </w:tabs>
        <w:snapToGrid w:val="0"/>
        <w:spacing w:line="360" w:lineRule="auto"/>
        <w:ind w:right="1560" w:firstLine="440" w:firstLineChars="200"/>
        <w:rPr>
          <w:rFonts w:ascii="Times New Roman" w:hAnsi="Times New Roman" w:eastAsia="宋体"/>
          <w:sz w:val="22"/>
          <w:szCs w:val="21"/>
        </w:rPr>
      </w:pPr>
      <w:r>
        <w:rPr>
          <w:rFonts w:hint="eastAsia" w:ascii="Times New Roman" w:hAnsi="Times New Roman" w:eastAsia="宋体"/>
          <w:sz w:val="22"/>
          <w:szCs w:val="21"/>
        </w:rPr>
        <w:t xml:space="preserve">       单位名称（盖章）：</w:t>
      </w:r>
    </w:p>
    <w:p w14:paraId="15817F23">
      <w:pPr>
        <w:tabs>
          <w:tab w:val="left" w:pos="4860"/>
        </w:tabs>
        <w:snapToGrid w:val="0"/>
        <w:spacing w:line="360" w:lineRule="auto"/>
        <w:ind w:right="1560" w:firstLine="440" w:firstLineChars="200"/>
        <w:rPr>
          <w:rFonts w:ascii="Times New Roman" w:hAnsi="Times New Roman" w:eastAsia="宋体"/>
          <w:sz w:val="22"/>
          <w:szCs w:val="21"/>
        </w:rPr>
      </w:pPr>
      <w:r>
        <w:rPr>
          <w:rFonts w:hint="eastAsia" w:ascii="Times New Roman" w:hAnsi="Times New Roman" w:eastAsia="宋体"/>
          <w:sz w:val="22"/>
          <w:szCs w:val="21"/>
        </w:rPr>
        <w:t xml:space="preserve">       日  期：</w:t>
      </w:r>
    </w:p>
    <w:p w14:paraId="0701EA63">
      <w:pPr>
        <w:widowControl w:val="0"/>
        <w:snapToGrid w:val="0"/>
        <w:spacing w:line="360" w:lineRule="auto"/>
        <w:ind w:left="360" w:firstLine="0"/>
        <w:jc w:val="both"/>
        <w:rPr>
          <w:rFonts w:ascii="Times New Roman" w:hAnsi="Times New Roman" w:eastAsia="宋体" w:cs="宋体"/>
          <w:kern w:val="2"/>
          <w:sz w:val="22"/>
          <w:szCs w:val="21"/>
          <w:lang w:val="en-US" w:eastAsia="zh-CN" w:bidi="ar-SA"/>
        </w:rPr>
      </w:pPr>
    </w:p>
    <w:p w14:paraId="71C0F81F">
      <w:pPr>
        <w:widowControl w:val="0"/>
        <w:spacing w:line="420" w:lineRule="atLeast"/>
        <w:jc w:val="left"/>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备注说明：</w:t>
      </w:r>
    </w:p>
    <w:p w14:paraId="1560CF8D">
      <w:pPr>
        <w:widowControl w:val="0"/>
        <w:spacing w:line="420" w:lineRule="atLeast"/>
        <w:jc w:val="left"/>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1、如中标，将在中标公示中将此残疾人福利性单位声明函予以公示，接受社会监督；</w:t>
      </w:r>
    </w:p>
    <w:p w14:paraId="69527B1C">
      <w:pPr>
        <w:widowControl w:val="0"/>
        <w:spacing w:line="420" w:lineRule="atLeast"/>
        <w:jc w:val="left"/>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2、供应商提供的《残疾人福利性单位声明函》与事实不符的，依照《政府采购法》第七十七条第一款的规定追究法律责任。</w:t>
      </w:r>
    </w:p>
    <w:p w14:paraId="396AF550">
      <w:pPr>
        <w:widowControl w:val="0"/>
        <w:snapToGrid w:val="0"/>
        <w:spacing w:line="360" w:lineRule="auto"/>
        <w:ind w:left="360" w:firstLine="0"/>
        <w:jc w:val="both"/>
        <w:rPr>
          <w:rFonts w:ascii="Times New Roman" w:hAnsi="Times New Roman" w:eastAsia="宋体" w:cs="宋体"/>
          <w:kern w:val="2"/>
          <w:sz w:val="22"/>
          <w:szCs w:val="21"/>
          <w:lang w:val="en-US" w:eastAsia="zh-CN" w:bidi="ar-SA"/>
        </w:rPr>
      </w:pPr>
    </w:p>
    <w:p w14:paraId="41F68F17">
      <w:pPr>
        <w:spacing w:line="440" w:lineRule="atLeast"/>
        <w:jc w:val="left"/>
        <w:rPr>
          <w:rFonts w:hint="eastAsia" w:ascii="宋体"/>
          <w:b/>
          <w:bCs/>
          <w:color w:val="auto"/>
          <w:sz w:val="22"/>
          <w:highlight w:val="none"/>
        </w:rPr>
      </w:pPr>
    </w:p>
    <w:p w14:paraId="6929EA11">
      <w:pPr>
        <w:spacing w:line="440" w:lineRule="atLeast"/>
        <w:jc w:val="left"/>
        <w:rPr>
          <w:rFonts w:hint="eastAsia" w:ascii="宋体"/>
          <w:b/>
          <w:bCs/>
          <w:color w:val="auto"/>
          <w:sz w:val="22"/>
          <w:highlight w:val="none"/>
        </w:rPr>
      </w:pPr>
    </w:p>
    <w:p w14:paraId="52D45FAF">
      <w:pPr>
        <w:rPr>
          <w:rFonts w:hint="eastAsia" w:ascii="宋体"/>
          <w:b/>
          <w:bCs/>
          <w:color w:val="auto"/>
          <w:sz w:val="22"/>
          <w:highlight w:val="none"/>
        </w:rPr>
      </w:pPr>
      <w:r>
        <w:rPr>
          <w:rFonts w:hint="eastAsia" w:ascii="宋体"/>
          <w:b/>
          <w:bCs/>
          <w:color w:val="auto"/>
          <w:sz w:val="22"/>
          <w:highlight w:val="none"/>
        </w:rPr>
        <w:br w:type="page"/>
      </w:r>
    </w:p>
    <w:p w14:paraId="0BFFA2F1">
      <w:pPr>
        <w:spacing w:line="440" w:lineRule="atLeast"/>
        <w:jc w:val="left"/>
        <w:rPr>
          <w:rFonts w:ascii="宋体"/>
          <w:b/>
          <w:bCs/>
          <w:color w:val="auto"/>
          <w:sz w:val="22"/>
          <w:highlight w:val="none"/>
        </w:rPr>
      </w:pPr>
      <w:r>
        <w:rPr>
          <w:rFonts w:hint="eastAsia" w:ascii="宋体"/>
          <w:b/>
          <w:bCs/>
          <w:color w:val="auto"/>
          <w:sz w:val="22"/>
          <w:highlight w:val="none"/>
        </w:rPr>
        <w:t>二、节能、环保产品优先（强制）采购政策说明</w:t>
      </w:r>
    </w:p>
    <w:p w14:paraId="2FBD79CD">
      <w:pPr>
        <w:snapToGrid w:val="0"/>
        <w:spacing w:line="460" w:lineRule="atLeast"/>
        <w:ind w:firstLine="440" w:firstLineChars="200"/>
        <w:rPr>
          <w:rFonts w:ascii="宋体"/>
          <w:color w:val="auto"/>
          <w:sz w:val="22"/>
          <w:highlight w:val="none"/>
        </w:rPr>
      </w:pPr>
      <w:r>
        <w:rPr>
          <w:rFonts w:ascii="宋体"/>
          <w:color w:val="auto"/>
          <w:sz w:val="22"/>
          <w:highlight w:val="none"/>
        </w:rPr>
        <w:t>1、政策依据</w:t>
      </w:r>
    </w:p>
    <w:p w14:paraId="2993EEAD">
      <w:pPr>
        <w:snapToGrid w:val="0"/>
        <w:spacing w:line="460" w:lineRule="atLeast"/>
        <w:ind w:firstLine="440" w:firstLineChars="200"/>
        <w:rPr>
          <w:rFonts w:ascii="宋体"/>
          <w:color w:val="auto"/>
          <w:sz w:val="22"/>
          <w:highlight w:val="none"/>
        </w:rPr>
      </w:pPr>
      <w:r>
        <w:rPr>
          <w:rFonts w:hint="eastAsia" w:ascii="宋体"/>
          <w:color w:val="auto"/>
          <w:sz w:val="22"/>
          <w:highlight w:val="none"/>
        </w:rPr>
        <w:t>（一）《国务院办公厅关于建立政府强制采购节能产品制度的通知》</w:t>
      </w:r>
      <w:r>
        <w:rPr>
          <w:rFonts w:ascii="宋体"/>
          <w:color w:val="auto"/>
          <w:sz w:val="22"/>
          <w:highlight w:val="none"/>
        </w:rPr>
        <w:t>(国办发[2007]51号)</w:t>
      </w:r>
    </w:p>
    <w:p w14:paraId="0FC05910">
      <w:pPr>
        <w:snapToGrid w:val="0"/>
        <w:spacing w:line="460" w:lineRule="atLeast"/>
        <w:ind w:firstLine="440" w:firstLineChars="200"/>
        <w:rPr>
          <w:rFonts w:ascii="宋体"/>
          <w:color w:val="auto"/>
          <w:sz w:val="22"/>
          <w:highlight w:val="none"/>
        </w:rPr>
      </w:pPr>
      <w:r>
        <w:rPr>
          <w:rFonts w:hint="eastAsia" w:ascii="宋体"/>
          <w:color w:val="auto"/>
          <w:sz w:val="22"/>
          <w:highlight w:val="none"/>
        </w:rPr>
        <w:t>（二）财政部、发展改革委发布的《节能产品政府采购实施意见》</w:t>
      </w:r>
      <w:r>
        <w:rPr>
          <w:rFonts w:ascii="宋体"/>
          <w:color w:val="auto"/>
          <w:sz w:val="22"/>
          <w:highlight w:val="none"/>
        </w:rPr>
        <w:t>(财库[2004]185号)</w:t>
      </w:r>
    </w:p>
    <w:p w14:paraId="18C0EEBC">
      <w:pPr>
        <w:snapToGrid w:val="0"/>
        <w:spacing w:line="460" w:lineRule="atLeast"/>
        <w:ind w:firstLine="440" w:firstLineChars="200"/>
        <w:rPr>
          <w:rFonts w:ascii="宋体"/>
          <w:color w:val="auto"/>
          <w:sz w:val="22"/>
          <w:highlight w:val="none"/>
        </w:rPr>
      </w:pPr>
      <w:r>
        <w:rPr>
          <w:rFonts w:hint="eastAsia" w:ascii="宋体"/>
          <w:color w:val="auto"/>
          <w:sz w:val="22"/>
          <w:highlight w:val="none"/>
        </w:rPr>
        <w:t>（三）财政部、原环保总局印发的《环境标志产品政府采购实施的意见》（财库</w:t>
      </w:r>
      <w:r>
        <w:rPr>
          <w:rFonts w:ascii="宋体"/>
          <w:color w:val="auto"/>
          <w:sz w:val="22"/>
          <w:highlight w:val="none"/>
        </w:rPr>
        <w:t xml:space="preserve"> [2006]90号）</w:t>
      </w:r>
    </w:p>
    <w:p w14:paraId="6F08BDB5">
      <w:pPr>
        <w:snapToGrid w:val="0"/>
        <w:spacing w:line="460" w:lineRule="atLeast"/>
        <w:ind w:firstLine="440" w:firstLineChars="200"/>
        <w:rPr>
          <w:rFonts w:ascii="宋体"/>
          <w:color w:val="auto"/>
          <w:sz w:val="22"/>
          <w:highlight w:val="none"/>
        </w:rPr>
      </w:pPr>
      <w:r>
        <w:rPr>
          <w:rFonts w:hint="eastAsia" w:ascii="宋体"/>
          <w:color w:val="auto"/>
          <w:sz w:val="22"/>
          <w:highlight w:val="none"/>
        </w:rPr>
        <w:t>（四）《关于调整优化节能产品、环境标志产品政府采购执行机制的通知》（财库〔</w:t>
      </w:r>
      <w:r>
        <w:rPr>
          <w:rFonts w:ascii="宋体"/>
          <w:color w:val="auto"/>
          <w:sz w:val="22"/>
          <w:highlight w:val="none"/>
        </w:rPr>
        <w:t>2019〕9号</w:t>
      </w:r>
      <w:r>
        <w:rPr>
          <w:rFonts w:hint="eastAsia" w:ascii="宋体"/>
          <w:color w:val="auto"/>
          <w:sz w:val="22"/>
          <w:highlight w:val="none"/>
        </w:rPr>
        <w:t>）</w:t>
      </w:r>
    </w:p>
    <w:p w14:paraId="4B0EA500">
      <w:pPr>
        <w:snapToGrid w:val="0"/>
        <w:spacing w:line="460" w:lineRule="atLeast"/>
        <w:ind w:firstLine="440" w:firstLineChars="200"/>
        <w:rPr>
          <w:rFonts w:ascii="宋体"/>
          <w:color w:val="auto"/>
          <w:sz w:val="22"/>
          <w:highlight w:val="none"/>
        </w:rPr>
      </w:pPr>
      <w:r>
        <w:rPr>
          <w:rFonts w:hint="eastAsia" w:ascii="宋体"/>
          <w:color w:val="auto"/>
          <w:sz w:val="22"/>
          <w:highlight w:val="none"/>
        </w:rPr>
        <w:t>（五）《关于印发节能产品政府采购品目清单的通知》（财库〔</w:t>
      </w:r>
      <w:r>
        <w:rPr>
          <w:rFonts w:ascii="宋体"/>
          <w:color w:val="auto"/>
          <w:sz w:val="22"/>
          <w:highlight w:val="none"/>
        </w:rPr>
        <w:t>2019〕1</w:t>
      </w:r>
      <w:r>
        <w:rPr>
          <w:rFonts w:hint="eastAsia" w:ascii="宋体"/>
          <w:color w:val="auto"/>
          <w:sz w:val="22"/>
          <w:highlight w:val="none"/>
        </w:rPr>
        <w:t>9</w:t>
      </w:r>
      <w:r>
        <w:rPr>
          <w:rFonts w:ascii="宋体"/>
          <w:color w:val="auto"/>
          <w:sz w:val="22"/>
          <w:highlight w:val="none"/>
        </w:rPr>
        <w:t>号</w:t>
      </w:r>
      <w:r>
        <w:rPr>
          <w:rFonts w:hint="eastAsia" w:ascii="宋体"/>
          <w:color w:val="auto"/>
          <w:sz w:val="22"/>
          <w:highlight w:val="none"/>
        </w:rPr>
        <w:t>）</w:t>
      </w:r>
    </w:p>
    <w:p w14:paraId="793C0B70">
      <w:pPr>
        <w:snapToGrid w:val="0"/>
        <w:spacing w:line="460" w:lineRule="atLeast"/>
        <w:ind w:firstLine="440" w:firstLineChars="200"/>
        <w:rPr>
          <w:rFonts w:ascii="宋体"/>
          <w:color w:val="auto"/>
          <w:sz w:val="22"/>
          <w:highlight w:val="none"/>
        </w:rPr>
      </w:pPr>
      <w:r>
        <w:rPr>
          <w:rFonts w:hint="eastAsia" w:ascii="宋体"/>
          <w:color w:val="auto"/>
          <w:sz w:val="22"/>
          <w:highlight w:val="none"/>
        </w:rPr>
        <w:t>（六）《关于印发环境标志产品政府采购品目清单的通知》（财库〔</w:t>
      </w:r>
      <w:r>
        <w:rPr>
          <w:rFonts w:ascii="宋体"/>
          <w:color w:val="auto"/>
          <w:sz w:val="22"/>
          <w:highlight w:val="none"/>
        </w:rPr>
        <w:t>2019〕18号</w:t>
      </w:r>
      <w:r>
        <w:rPr>
          <w:rFonts w:hint="eastAsia" w:ascii="宋体"/>
          <w:color w:val="auto"/>
          <w:sz w:val="22"/>
          <w:highlight w:val="none"/>
        </w:rPr>
        <w:t>）</w:t>
      </w:r>
    </w:p>
    <w:p w14:paraId="3EC67ED2">
      <w:pPr>
        <w:snapToGrid w:val="0"/>
        <w:spacing w:line="460" w:lineRule="atLeast"/>
        <w:ind w:firstLine="440" w:firstLineChars="200"/>
        <w:rPr>
          <w:rFonts w:ascii="宋体"/>
          <w:color w:val="auto"/>
          <w:sz w:val="22"/>
          <w:highlight w:val="none"/>
        </w:rPr>
      </w:pPr>
      <w:r>
        <w:rPr>
          <w:rFonts w:hint="eastAsia" w:ascii="宋体"/>
          <w:color w:val="auto"/>
          <w:sz w:val="22"/>
          <w:highlight w:val="none"/>
        </w:rPr>
        <w:t>（七）《市场监管总局关于发布参与实施政府采购节能产品、环境标志产品认证机构名录的公告》（</w:t>
      </w:r>
      <w:r>
        <w:rPr>
          <w:rFonts w:ascii="宋体"/>
          <w:color w:val="auto"/>
          <w:sz w:val="22"/>
          <w:highlight w:val="none"/>
        </w:rPr>
        <w:t>2019年第16号</w:t>
      </w:r>
      <w:r>
        <w:rPr>
          <w:rFonts w:hint="eastAsia" w:ascii="宋体"/>
          <w:color w:val="auto"/>
          <w:sz w:val="22"/>
          <w:highlight w:val="none"/>
        </w:rPr>
        <w:t>）</w:t>
      </w:r>
    </w:p>
    <w:p w14:paraId="4F8C725C">
      <w:pPr>
        <w:pStyle w:val="78"/>
        <w:snapToGrid w:val="0"/>
        <w:spacing w:line="360" w:lineRule="auto"/>
        <w:ind w:firstLine="0" w:firstLineChars="0"/>
        <w:rPr>
          <w:rFonts w:cs="宋体"/>
          <w:color w:val="auto"/>
          <w:sz w:val="22"/>
          <w:highlight w:val="none"/>
        </w:rPr>
        <w:sectPr>
          <w:footerReference r:id="rId10" w:type="default"/>
          <w:pgSz w:w="11906" w:h="16838"/>
          <w:pgMar w:top="1276" w:right="1106" w:bottom="1440" w:left="1622" w:header="720" w:footer="720" w:gutter="0"/>
          <w:cols w:space="720" w:num="1"/>
          <w:docGrid w:type="lines" w:linePitch="312" w:charSpace="0"/>
        </w:sectPr>
      </w:pPr>
      <w:r>
        <w:rPr>
          <w:rFonts w:hint="eastAsia" w:ascii="宋体"/>
          <w:color w:val="auto"/>
          <w:sz w:val="22"/>
          <w:highlight w:val="none"/>
        </w:rPr>
        <w:t>2</w:t>
      </w:r>
      <w:r>
        <w:rPr>
          <w:rFonts w:ascii="宋体"/>
          <w:color w:val="auto"/>
          <w:sz w:val="22"/>
          <w:highlight w:val="none"/>
        </w:rPr>
        <w:t>、</w:t>
      </w:r>
      <w:r>
        <w:rPr>
          <w:rFonts w:hint="eastAsia" w:ascii="宋体" w:hAnsi="Calibri" w:eastAsia="宋体" w:cs="Times New Roman"/>
          <w:color w:val="auto"/>
          <w:kern w:val="2"/>
          <w:sz w:val="22"/>
          <w:szCs w:val="22"/>
          <w:highlight w:val="none"/>
          <w:lang w:val="en-US" w:eastAsia="zh-CN" w:bidi="ar-SA"/>
        </w:rPr>
        <w:t>供应商投标货物属于节能、环保优先（强制）采购范围的，须提供相关证明材料。</w:t>
      </w:r>
    </w:p>
    <w:p w14:paraId="4A65BF40">
      <w:pPr>
        <w:pStyle w:val="78"/>
        <w:snapToGrid w:val="0"/>
        <w:spacing w:line="360" w:lineRule="auto"/>
        <w:ind w:firstLine="0" w:firstLineChars="0"/>
        <w:rPr>
          <w:rFonts w:cs="宋体"/>
          <w:color w:val="auto"/>
          <w:sz w:val="22"/>
          <w:highlight w:val="none"/>
        </w:rPr>
      </w:pPr>
      <w:r>
        <w:rPr>
          <w:rFonts w:hint="eastAsia" w:cs="宋体"/>
          <w:color w:val="auto"/>
          <w:sz w:val="22"/>
          <w:highlight w:val="none"/>
        </w:rPr>
        <w:t>三、信贷政策</w:t>
      </w:r>
    </w:p>
    <w:p w14:paraId="7676E0A3">
      <w:pPr>
        <w:keepNext/>
        <w:widowControl w:val="0"/>
        <w:spacing w:line="360" w:lineRule="auto"/>
        <w:rPr>
          <w:rFonts w:ascii="宋体" w:hAnsi="宋体" w:cs="微软雅黑"/>
          <w:color w:val="auto"/>
          <w:sz w:val="22"/>
          <w:highlight w:val="none"/>
        </w:rPr>
      </w:pPr>
      <w:r>
        <w:rPr>
          <w:rFonts w:hint="eastAsia" w:ascii="宋体" w:hAnsi="宋体" w:cs="微软雅黑"/>
          <w:color w:val="auto"/>
          <w:sz w:val="22"/>
          <w:highlight w:val="none"/>
        </w:rPr>
        <w:t>1、温州市财政局关于温州市政府采购支持中小企业信用融资的通知（温财采〔2020〕3号）</w:t>
      </w:r>
    </w:p>
    <w:p w14:paraId="31256B86">
      <w:pPr>
        <w:keepNext/>
        <w:widowControl w:val="0"/>
        <w:spacing w:line="360" w:lineRule="auto"/>
        <w:rPr>
          <w:rFonts w:ascii="宋体" w:hAnsi="宋体" w:cs="微软雅黑"/>
          <w:color w:val="auto"/>
          <w:sz w:val="22"/>
          <w:highlight w:val="none"/>
        </w:rPr>
      </w:pPr>
      <w:r>
        <w:rPr>
          <w:rFonts w:hint="eastAsia" w:ascii="宋体" w:hAnsi="宋体" w:cs="微软雅黑"/>
          <w:color w:val="auto"/>
          <w:sz w:val="22"/>
          <w:highlight w:val="none"/>
        </w:rPr>
        <w:t>2、融资合作银行名单及意向银行选择表：</w:t>
      </w:r>
    </w:p>
    <w:tbl>
      <w:tblPr>
        <w:tblStyle w:val="38"/>
        <w:tblW w:w="9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4"/>
        <w:gridCol w:w="4712"/>
        <w:gridCol w:w="1019"/>
        <w:gridCol w:w="1726"/>
      </w:tblGrid>
      <w:tr w14:paraId="4961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7" w:hRule="atLeast"/>
          <w:jc w:val="center"/>
        </w:trPr>
        <w:tc>
          <w:tcPr>
            <w:tcW w:w="9941" w:type="dxa"/>
            <w:gridSpan w:val="4"/>
            <w:vAlign w:val="center"/>
          </w:tcPr>
          <w:p w14:paraId="371BC160">
            <w:pPr>
              <w:jc w:val="center"/>
              <w:rPr>
                <w:rFonts w:hint="eastAsia" w:ascii="宋体" w:hAnsi="宋体" w:eastAsia="宋体"/>
                <w:bCs/>
                <w:color w:val="auto"/>
                <w:sz w:val="22"/>
                <w:highlight w:val="none"/>
              </w:rPr>
            </w:pPr>
            <w:r>
              <w:rPr>
                <w:rFonts w:hint="eastAsia" w:ascii="宋体" w:hAnsi="宋体" w:eastAsia="宋体"/>
                <w:bCs/>
                <w:color w:val="auto"/>
                <w:sz w:val="22"/>
                <w:highlight w:val="none"/>
              </w:rPr>
              <w:t>温州市政府采购支持中小企业信用融资合作银行</w:t>
            </w:r>
          </w:p>
        </w:tc>
      </w:tr>
      <w:tr w14:paraId="57ABC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484" w:type="dxa"/>
            <w:tcBorders>
              <w:top w:val="single" w:color="auto" w:sz="4" w:space="0"/>
              <w:left w:val="single" w:color="auto" w:sz="4" w:space="0"/>
              <w:right w:val="single" w:color="auto" w:sz="4" w:space="0"/>
            </w:tcBorders>
            <w:vAlign w:val="center"/>
          </w:tcPr>
          <w:p w14:paraId="1A5CF543">
            <w:pPr>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银行名称</w:t>
            </w:r>
          </w:p>
        </w:tc>
        <w:tc>
          <w:tcPr>
            <w:tcW w:w="4712" w:type="dxa"/>
            <w:tcBorders>
              <w:top w:val="single" w:color="auto" w:sz="4" w:space="0"/>
              <w:left w:val="single" w:color="auto" w:sz="4" w:space="0"/>
              <w:right w:val="single" w:color="auto" w:sz="4" w:space="0"/>
            </w:tcBorders>
            <w:vAlign w:val="center"/>
          </w:tcPr>
          <w:p w14:paraId="42D7D9EF">
            <w:pPr>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产品特点（不超过120字）</w:t>
            </w:r>
          </w:p>
        </w:tc>
        <w:tc>
          <w:tcPr>
            <w:tcW w:w="1019" w:type="dxa"/>
            <w:tcBorders>
              <w:top w:val="single" w:color="auto" w:sz="4" w:space="0"/>
              <w:left w:val="single" w:color="auto" w:sz="4" w:space="0"/>
              <w:right w:val="single" w:color="auto" w:sz="4" w:space="0"/>
            </w:tcBorders>
            <w:vAlign w:val="center"/>
          </w:tcPr>
          <w:p w14:paraId="5F906E08">
            <w:pPr>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经办人</w:t>
            </w:r>
          </w:p>
        </w:tc>
        <w:tc>
          <w:tcPr>
            <w:tcW w:w="1725" w:type="dxa"/>
            <w:tcBorders>
              <w:top w:val="single" w:color="auto" w:sz="4" w:space="0"/>
              <w:left w:val="single" w:color="auto" w:sz="4" w:space="0"/>
              <w:right w:val="single" w:color="auto" w:sz="4" w:space="0"/>
            </w:tcBorders>
            <w:vAlign w:val="center"/>
          </w:tcPr>
          <w:p w14:paraId="0544D50D">
            <w:pPr>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联系方式</w:t>
            </w:r>
          </w:p>
        </w:tc>
      </w:tr>
      <w:tr w14:paraId="01F5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jc w:val="center"/>
        </w:trPr>
        <w:tc>
          <w:tcPr>
            <w:tcW w:w="2484" w:type="dxa"/>
            <w:tcBorders>
              <w:top w:val="single" w:color="auto" w:sz="4" w:space="0"/>
              <w:left w:val="single" w:color="auto" w:sz="4" w:space="0"/>
              <w:right w:val="single" w:color="auto" w:sz="4" w:space="0"/>
            </w:tcBorders>
            <w:vAlign w:val="center"/>
          </w:tcPr>
          <w:p w14:paraId="293A4605">
            <w:pPr>
              <w:spacing w:line="360" w:lineRule="auto"/>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中国工商银行股份有限公司温州分行</w:t>
            </w:r>
          </w:p>
        </w:tc>
        <w:tc>
          <w:tcPr>
            <w:tcW w:w="4712" w:type="dxa"/>
            <w:tcBorders>
              <w:top w:val="single" w:color="auto" w:sz="4" w:space="0"/>
              <w:left w:val="single" w:color="auto" w:sz="4" w:space="0"/>
              <w:right w:val="single" w:color="auto" w:sz="4" w:space="0"/>
            </w:tcBorders>
          </w:tcPr>
          <w:p w14:paraId="7D1CFBAE">
            <w:pPr>
              <w:rPr>
                <w:rFonts w:hint="eastAsia" w:ascii="宋体" w:hAnsi="宋体" w:eastAsia="宋体"/>
                <w:bCs/>
                <w:color w:val="auto"/>
                <w:sz w:val="22"/>
                <w:highlight w:val="none"/>
              </w:rPr>
            </w:pPr>
            <w:r>
              <w:rPr>
                <w:rFonts w:hint="eastAsia" w:ascii="宋体" w:hAnsi="宋体" w:eastAsia="宋体"/>
                <w:bCs/>
                <w:color w:val="auto"/>
                <w:sz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9" w:type="dxa"/>
            <w:tcBorders>
              <w:top w:val="single" w:color="auto" w:sz="4" w:space="0"/>
              <w:left w:val="single" w:color="auto" w:sz="4" w:space="0"/>
              <w:right w:val="single" w:color="auto" w:sz="4" w:space="0"/>
            </w:tcBorders>
            <w:vAlign w:val="center"/>
          </w:tcPr>
          <w:p w14:paraId="020E8F25">
            <w:pPr>
              <w:spacing w:line="360" w:lineRule="auto"/>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王经理</w:t>
            </w:r>
          </w:p>
        </w:tc>
        <w:tc>
          <w:tcPr>
            <w:tcW w:w="1725" w:type="dxa"/>
            <w:tcBorders>
              <w:top w:val="single" w:color="auto" w:sz="4" w:space="0"/>
              <w:left w:val="single" w:color="auto" w:sz="4" w:space="0"/>
              <w:right w:val="single" w:color="auto" w:sz="4" w:space="0"/>
            </w:tcBorders>
            <w:vAlign w:val="center"/>
          </w:tcPr>
          <w:p w14:paraId="1DCDCC20">
            <w:pPr>
              <w:rPr>
                <w:rFonts w:hint="eastAsia" w:ascii="宋体" w:hAnsi="宋体" w:eastAsia="宋体"/>
                <w:bCs/>
                <w:color w:val="auto"/>
                <w:sz w:val="22"/>
                <w:highlight w:val="none"/>
              </w:rPr>
            </w:pPr>
            <w:r>
              <w:rPr>
                <w:rFonts w:hint="eastAsia" w:ascii="宋体" w:hAnsi="宋体" w:eastAsia="宋体"/>
                <w:bCs/>
                <w:color w:val="auto"/>
                <w:sz w:val="22"/>
                <w:highlight w:val="none"/>
              </w:rPr>
              <w:t>0577-88186626</w:t>
            </w:r>
          </w:p>
        </w:tc>
      </w:tr>
      <w:tr w14:paraId="4190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2484" w:type="dxa"/>
            <w:tcBorders>
              <w:top w:val="single" w:color="auto" w:sz="4" w:space="0"/>
              <w:left w:val="single" w:color="auto" w:sz="4" w:space="0"/>
              <w:right w:val="single" w:color="auto" w:sz="4" w:space="0"/>
            </w:tcBorders>
            <w:vAlign w:val="center"/>
          </w:tcPr>
          <w:p w14:paraId="79CE8B3E">
            <w:pPr>
              <w:rPr>
                <w:rFonts w:hint="eastAsia" w:ascii="宋体" w:hAnsi="宋体" w:eastAsia="宋体"/>
                <w:bCs/>
                <w:color w:val="auto"/>
                <w:sz w:val="22"/>
                <w:highlight w:val="none"/>
              </w:rPr>
            </w:pPr>
            <w:r>
              <w:rPr>
                <w:rFonts w:hint="eastAsia" w:ascii="宋体" w:hAnsi="宋体" w:eastAsia="宋体" w:cs="宋体"/>
                <w:bCs/>
                <w:color w:val="auto"/>
                <w:sz w:val="22"/>
                <w:highlight w:val="none"/>
              </w:rPr>
              <w:t>中国建设银行股份有限公司温州分行</w:t>
            </w:r>
          </w:p>
        </w:tc>
        <w:tc>
          <w:tcPr>
            <w:tcW w:w="4712" w:type="dxa"/>
            <w:tcBorders>
              <w:top w:val="single" w:color="auto" w:sz="4" w:space="0"/>
              <w:left w:val="single" w:color="auto" w:sz="4" w:space="0"/>
              <w:right w:val="single" w:color="auto" w:sz="4" w:space="0"/>
            </w:tcBorders>
          </w:tcPr>
          <w:p w14:paraId="43B87A61">
            <w:pPr>
              <w:rPr>
                <w:rFonts w:hint="eastAsia" w:ascii="宋体" w:hAnsi="宋体" w:eastAsia="宋体"/>
                <w:bCs/>
                <w:color w:val="auto"/>
                <w:sz w:val="22"/>
                <w:highlight w:val="none"/>
              </w:rPr>
            </w:pPr>
            <w:r>
              <w:rPr>
                <w:rFonts w:hint="eastAsia" w:ascii="宋体" w:hAnsi="宋体" w:eastAsia="宋体"/>
                <w:bCs/>
                <w:color w:val="auto"/>
                <w:sz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9" w:type="dxa"/>
            <w:tcBorders>
              <w:top w:val="single" w:color="auto" w:sz="4" w:space="0"/>
              <w:left w:val="single" w:color="auto" w:sz="4" w:space="0"/>
              <w:right w:val="single" w:color="auto" w:sz="4" w:space="0"/>
            </w:tcBorders>
            <w:vAlign w:val="center"/>
          </w:tcPr>
          <w:p w14:paraId="33B7A381">
            <w:pP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张经理</w:t>
            </w:r>
          </w:p>
        </w:tc>
        <w:tc>
          <w:tcPr>
            <w:tcW w:w="1725" w:type="dxa"/>
            <w:tcBorders>
              <w:top w:val="single" w:color="auto" w:sz="4" w:space="0"/>
              <w:left w:val="single" w:color="auto" w:sz="4" w:space="0"/>
              <w:right w:val="single" w:color="auto" w:sz="4" w:space="0"/>
            </w:tcBorders>
            <w:vAlign w:val="center"/>
          </w:tcPr>
          <w:p w14:paraId="2435543C">
            <w:pP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0577-88093286</w:t>
            </w:r>
          </w:p>
        </w:tc>
      </w:tr>
      <w:tr w14:paraId="44D2C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2484" w:type="dxa"/>
            <w:tcBorders>
              <w:top w:val="single" w:color="auto" w:sz="4" w:space="0"/>
              <w:left w:val="single" w:color="auto" w:sz="4" w:space="0"/>
              <w:right w:val="single" w:color="auto" w:sz="4" w:space="0"/>
            </w:tcBorders>
            <w:vAlign w:val="center"/>
          </w:tcPr>
          <w:p w14:paraId="63EAD43F">
            <w:pPr>
              <w:spacing w:line="360" w:lineRule="auto"/>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中国邮政储蓄银行股份有限公司温州市分行</w:t>
            </w:r>
          </w:p>
        </w:tc>
        <w:tc>
          <w:tcPr>
            <w:tcW w:w="4712" w:type="dxa"/>
            <w:tcBorders>
              <w:top w:val="single" w:color="auto" w:sz="4" w:space="0"/>
              <w:left w:val="single" w:color="auto" w:sz="4" w:space="0"/>
              <w:right w:val="single" w:color="auto" w:sz="4" w:space="0"/>
            </w:tcBorders>
            <w:vAlign w:val="center"/>
          </w:tcPr>
          <w:p w14:paraId="7F67ADDC">
            <w:pPr>
              <w:rPr>
                <w:rFonts w:hint="eastAsia" w:ascii="宋体" w:hAnsi="宋体" w:eastAsia="宋体"/>
                <w:bCs/>
                <w:color w:val="auto"/>
                <w:sz w:val="22"/>
                <w:highlight w:val="none"/>
              </w:rPr>
            </w:pPr>
            <w:r>
              <w:rPr>
                <w:rFonts w:hint="eastAsia" w:ascii="宋体" w:hAnsi="宋体" w:eastAsia="宋体"/>
                <w:bCs/>
                <w:color w:val="auto"/>
                <w:sz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9" w:type="dxa"/>
            <w:tcBorders>
              <w:top w:val="single" w:color="auto" w:sz="4" w:space="0"/>
              <w:left w:val="single" w:color="auto" w:sz="4" w:space="0"/>
              <w:right w:val="single" w:color="auto" w:sz="4" w:space="0"/>
            </w:tcBorders>
            <w:vAlign w:val="center"/>
          </w:tcPr>
          <w:p w14:paraId="394A9CDC">
            <w:pPr>
              <w:rPr>
                <w:rFonts w:hint="eastAsia" w:ascii="宋体" w:hAnsi="宋体" w:eastAsia="宋体"/>
                <w:bCs/>
                <w:color w:val="auto"/>
                <w:sz w:val="22"/>
                <w:highlight w:val="none"/>
              </w:rPr>
            </w:pPr>
            <w:r>
              <w:rPr>
                <w:rFonts w:hint="eastAsia" w:ascii="宋体" w:hAnsi="宋体" w:eastAsia="宋体"/>
                <w:bCs/>
                <w:color w:val="auto"/>
                <w:sz w:val="22"/>
                <w:highlight w:val="none"/>
              </w:rPr>
              <w:t>郑经理</w:t>
            </w:r>
          </w:p>
        </w:tc>
        <w:tc>
          <w:tcPr>
            <w:tcW w:w="1725" w:type="dxa"/>
            <w:tcBorders>
              <w:top w:val="single" w:color="auto" w:sz="4" w:space="0"/>
              <w:left w:val="single" w:color="auto" w:sz="4" w:space="0"/>
              <w:right w:val="single" w:color="auto" w:sz="4" w:space="0"/>
            </w:tcBorders>
            <w:vAlign w:val="center"/>
          </w:tcPr>
          <w:p w14:paraId="1D419CAC">
            <w:pPr>
              <w:rPr>
                <w:rFonts w:hint="eastAsia" w:ascii="宋体" w:hAnsi="宋体" w:eastAsia="宋体"/>
                <w:bCs/>
                <w:color w:val="auto"/>
                <w:sz w:val="22"/>
                <w:highlight w:val="none"/>
              </w:rPr>
            </w:pPr>
            <w:r>
              <w:rPr>
                <w:rFonts w:hint="eastAsia" w:ascii="宋体" w:hAnsi="宋体" w:eastAsia="宋体"/>
                <w:bCs/>
                <w:color w:val="auto"/>
                <w:sz w:val="22"/>
                <w:highlight w:val="none"/>
              </w:rPr>
              <w:t>0577-88193910</w:t>
            </w:r>
          </w:p>
        </w:tc>
      </w:tr>
      <w:tr w14:paraId="45C0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2484" w:type="dxa"/>
            <w:tcBorders>
              <w:top w:val="single" w:color="auto" w:sz="4" w:space="0"/>
              <w:left w:val="single" w:color="auto" w:sz="4" w:space="0"/>
              <w:right w:val="single" w:color="auto" w:sz="4" w:space="0"/>
            </w:tcBorders>
            <w:vAlign w:val="center"/>
          </w:tcPr>
          <w:p w14:paraId="621C518B">
            <w:pPr>
              <w:spacing w:line="360" w:lineRule="auto"/>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中国民生银行股份有限公司温州分行</w:t>
            </w:r>
          </w:p>
        </w:tc>
        <w:tc>
          <w:tcPr>
            <w:tcW w:w="4712" w:type="dxa"/>
            <w:tcBorders>
              <w:top w:val="single" w:color="auto" w:sz="4" w:space="0"/>
              <w:left w:val="single" w:color="auto" w:sz="4" w:space="0"/>
              <w:right w:val="single" w:color="auto" w:sz="4" w:space="0"/>
            </w:tcBorders>
          </w:tcPr>
          <w:p w14:paraId="07AB918D">
            <w:pPr>
              <w:jc w:val="left"/>
              <w:rPr>
                <w:rFonts w:hint="eastAsia" w:ascii="宋体" w:hAnsi="宋体" w:eastAsia="宋体"/>
                <w:bCs/>
                <w:color w:val="auto"/>
                <w:sz w:val="22"/>
                <w:highlight w:val="none"/>
              </w:rPr>
            </w:pPr>
            <w:r>
              <w:rPr>
                <w:rFonts w:hint="eastAsia" w:ascii="宋体" w:hAnsi="宋体" w:eastAsia="宋体" w:cs="宋体"/>
                <w:bCs/>
                <w:color w:val="auto"/>
                <w:sz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9" w:type="dxa"/>
            <w:tcBorders>
              <w:top w:val="single" w:color="auto" w:sz="4" w:space="0"/>
              <w:left w:val="single" w:color="auto" w:sz="4" w:space="0"/>
              <w:right w:val="single" w:color="auto" w:sz="4" w:space="0"/>
            </w:tcBorders>
            <w:vAlign w:val="center"/>
          </w:tcPr>
          <w:p w14:paraId="2EF3F606">
            <w:pPr>
              <w:rPr>
                <w:rFonts w:hint="eastAsia" w:ascii="宋体" w:hAnsi="宋体" w:eastAsia="宋体"/>
                <w:bCs/>
                <w:color w:val="auto"/>
                <w:sz w:val="22"/>
                <w:highlight w:val="none"/>
              </w:rPr>
            </w:pPr>
            <w:r>
              <w:rPr>
                <w:rFonts w:hint="eastAsia" w:ascii="宋体" w:hAnsi="宋体" w:eastAsia="宋体"/>
                <w:bCs/>
                <w:color w:val="auto"/>
                <w:sz w:val="22"/>
                <w:highlight w:val="none"/>
              </w:rPr>
              <w:t>项经理</w:t>
            </w:r>
          </w:p>
        </w:tc>
        <w:tc>
          <w:tcPr>
            <w:tcW w:w="1725" w:type="dxa"/>
            <w:tcBorders>
              <w:top w:val="single" w:color="auto" w:sz="4" w:space="0"/>
              <w:left w:val="single" w:color="auto" w:sz="4" w:space="0"/>
              <w:right w:val="single" w:color="auto" w:sz="4" w:space="0"/>
            </w:tcBorders>
            <w:vAlign w:val="center"/>
          </w:tcPr>
          <w:p w14:paraId="535F0D01">
            <w:pPr>
              <w:rPr>
                <w:rFonts w:hint="eastAsia" w:ascii="宋体" w:hAnsi="宋体" w:eastAsia="宋体"/>
                <w:bCs/>
                <w:color w:val="auto"/>
                <w:sz w:val="22"/>
                <w:highlight w:val="none"/>
              </w:rPr>
            </w:pPr>
            <w:r>
              <w:rPr>
                <w:rFonts w:hint="eastAsia" w:ascii="宋体" w:hAnsi="宋体" w:eastAsia="宋体"/>
                <w:bCs/>
                <w:color w:val="auto"/>
                <w:sz w:val="22"/>
                <w:highlight w:val="none"/>
              </w:rPr>
              <w:t>18057779630</w:t>
            </w:r>
          </w:p>
        </w:tc>
      </w:tr>
      <w:tr w14:paraId="08A2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2484" w:type="dxa"/>
            <w:tcBorders>
              <w:top w:val="single" w:color="auto" w:sz="4" w:space="0"/>
              <w:left w:val="single" w:color="auto" w:sz="4" w:space="0"/>
              <w:right w:val="single" w:color="auto" w:sz="4" w:space="0"/>
            </w:tcBorders>
            <w:vAlign w:val="center"/>
          </w:tcPr>
          <w:p w14:paraId="496BE4CF">
            <w:pPr>
              <w:spacing w:line="360" w:lineRule="auto"/>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宁波银行股份有限公司温州分行</w:t>
            </w:r>
          </w:p>
        </w:tc>
        <w:tc>
          <w:tcPr>
            <w:tcW w:w="4712" w:type="dxa"/>
            <w:tcBorders>
              <w:top w:val="single" w:color="auto" w:sz="4" w:space="0"/>
              <w:left w:val="single" w:color="auto" w:sz="4" w:space="0"/>
              <w:right w:val="single" w:color="auto" w:sz="4" w:space="0"/>
            </w:tcBorders>
          </w:tcPr>
          <w:p w14:paraId="52B19FD4">
            <w:pPr>
              <w:rPr>
                <w:rFonts w:hint="eastAsia" w:ascii="宋体" w:hAnsi="宋体" w:eastAsia="宋体"/>
                <w:bCs/>
                <w:color w:val="auto"/>
                <w:sz w:val="22"/>
                <w:highlight w:val="none"/>
              </w:rPr>
            </w:pPr>
            <w:r>
              <w:rPr>
                <w:rFonts w:hint="eastAsia" w:ascii="宋体" w:hAnsi="宋体" w:eastAsia="宋体" w:cs="宋体"/>
                <w:bCs/>
                <w:color w:val="auto"/>
                <w:sz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9" w:type="dxa"/>
            <w:tcBorders>
              <w:top w:val="single" w:color="auto" w:sz="4" w:space="0"/>
              <w:left w:val="single" w:color="auto" w:sz="4" w:space="0"/>
              <w:right w:val="single" w:color="auto" w:sz="4" w:space="0"/>
            </w:tcBorders>
            <w:vAlign w:val="center"/>
          </w:tcPr>
          <w:p w14:paraId="32870A0B">
            <w:pPr>
              <w:rPr>
                <w:rFonts w:hint="eastAsia" w:ascii="宋体" w:hAnsi="宋体" w:eastAsia="宋体"/>
                <w:bCs/>
                <w:color w:val="auto"/>
                <w:sz w:val="22"/>
                <w:highlight w:val="none"/>
              </w:rPr>
            </w:pPr>
            <w:r>
              <w:rPr>
                <w:rFonts w:hint="eastAsia" w:ascii="宋体" w:hAnsi="宋体" w:eastAsia="宋体"/>
                <w:bCs/>
                <w:color w:val="auto"/>
                <w:sz w:val="22"/>
                <w:highlight w:val="none"/>
              </w:rPr>
              <w:t>陈经理</w:t>
            </w:r>
          </w:p>
        </w:tc>
        <w:tc>
          <w:tcPr>
            <w:tcW w:w="1725" w:type="dxa"/>
            <w:tcBorders>
              <w:top w:val="single" w:color="auto" w:sz="4" w:space="0"/>
              <w:left w:val="single" w:color="auto" w:sz="4" w:space="0"/>
              <w:right w:val="single" w:color="auto" w:sz="4" w:space="0"/>
            </w:tcBorders>
            <w:vAlign w:val="center"/>
          </w:tcPr>
          <w:p w14:paraId="06657BD2">
            <w:pPr>
              <w:rPr>
                <w:rFonts w:hint="eastAsia" w:ascii="宋体" w:hAnsi="宋体" w:eastAsia="宋体"/>
                <w:bCs/>
                <w:color w:val="auto"/>
                <w:sz w:val="22"/>
                <w:highlight w:val="none"/>
              </w:rPr>
            </w:pPr>
            <w:r>
              <w:rPr>
                <w:rFonts w:hint="eastAsia" w:ascii="宋体" w:hAnsi="宋体" w:eastAsia="宋体"/>
                <w:bCs/>
                <w:color w:val="auto"/>
                <w:sz w:val="22"/>
                <w:highlight w:val="none"/>
              </w:rPr>
              <w:t>0577－88007377</w:t>
            </w:r>
          </w:p>
        </w:tc>
      </w:tr>
      <w:tr w14:paraId="5149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2484" w:type="dxa"/>
            <w:tcBorders>
              <w:top w:val="single" w:color="auto" w:sz="4" w:space="0"/>
              <w:left w:val="single" w:color="auto" w:sz="4" w:space="0"/>
              <w:right w:val="single" w:color="auto" w:sz="4" w:space="0"/>
            </w:tcBorders>
            <w:vAlign w:val="center"/>
          </w:tcPr>
          <w:p w14:paraId="475C1BBC">
            <w:pPr>
              <w:spacing w:line="360" w:lineRule="auto"/>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杭州银行股份有限公司温州分行</w:t>
            </w:r>
          </w:p>
        </w:tc>
        <w:tc>
          <w:tcPr>
            <w:tcW w:w="4712" w:type="dxa"/>
            <w:tcBorders>
              <w:top w:val="single" w:color="auto" w:sz="4" w:space="0"/>
              <w:left w:val="single" w:color="auto" w:sz="4" w:space="0"/>
              <w:right w:val="single" w:color="auto" w:sz="4" w:space="0"/>
            </w:tcBorders>
          </w:tcPr>
          <w:p w14:paraId="53400E6F">
            <w:pPr>
              <w:rPr>
                <w:rFonts w:hint="eastAsia" w:ascii="宋体" w:hAnsi="宋体" w:eastAsia="宋体"/>
                <w:bCs/>
                <w:color w:val="auto"/>
                <w:sz w:val="22"/>
                <w:highlight w:val="none"/>
              </w:rPr>
            </w:pPr>
            <w:r>
              <w:rPr>
                <w:rFonts w:hint="eastAsia" w:ascii="宋体" w:hAnsi="宋体" w:eastAsia="宋体"/>
                <w:bCs/>
                <w:color w:val="auto"/>
                <w:sz w:val="22"/>
                <w:highlight w:val="none"/>
              </w:rPr>
              <w:t>门槛低：纯信用，平台注册入库并取得采购合同即可申请</w:t>
            </w:r>
          </w:p>
          <w:p w14:paraId="3EB63151">
            <w:pPr>
              <w:rPr>
                <w:rFonts w:hint="eastAsia" w:ascii="宋体" w:hAnsi="宋体" w:eastAsia="宋体"/>
                <w:bCs/>
                <w:color w:val="auto"/>
                <w:sz w:val="22"/>
                <w:highlight w:val="none"/>
              </w:rPr>
            </w:pPr>
            <w:r>
              <w:rPr>
                <w:rFonts w:hint="eastAsia" w:ascii="宋体" w:hAnsi="宋体" w:eastAsia="宋体"/>
                <w:bCs/>
                <w:color w:val="auto"/>
                <w:sz w:val="22"/>
                <w:highlight w:val="none"/>
              </w:rPr>
              <w:t>手续简：线上申请+线上签约，足不出户</w:t>
            </w:r>
          </w:p>
          <w:p w14:paraId="3BD4CEF8">
            <w:pPr>
              <w:rPr>
                <w:rFonts w:hint="eastAsia" w:ascii="宋体" w:hAnsi="宋体" w:eastAsia="宋体"/>
                <w:bCs/>
                <w:color w:val="auto"/>
                <w:sz w:val="22"/>
                <w:highlight w:val="none"/>
              </w:rPr>
            </w:pPr>
            <w:r>
              <w:rPr>
                <w:rFonts w:hint="eastAsia" w:ascii="宋体" w:hAnsi="宋体" w:eastAsia="宋体"/>
                <w:bCs/>
                <w:color w:val="auto"/>
                <w:sz w:val="22"/>
                <w:highlight w:val="none"/>
              </w:rPr>
              <w:t>利率优：按优于一般中小企业贷款利率执行</w:t>
            </w:r>
          </w:p>
          <w:p w14:paraId="50BE2AB9">
            <w:pPr>
              <w:rPr>
                <w:rFonts w:hint="eastAsia" w:ascii="宋体" w:hAnsi="宋体" w:eastAsia="宋体"/>
                <w:bCs/>
                <w:color w:val="auto"/>
                <w:sz w:val="22"/>
                <w:highlight w:val="none"/>
              </w:rPr>
            </w:pPr>
            <w:r>
              <w:rPr>
                <w:rFonts w:hint="eastAsia" w:ascii="宋体" w:hAnsi="宋体" w:eastAsia="宋体"/>
                <w:bCs/>
                <w:color w:val="auto"/>
                <w:sz w:val="22"/>
                <w:highlight w:val="none"/>
              </w:rPr>
              <w:t>额度高：最高为合同金额的80%</w:t>
            </w:r>
          </w:p>
        </w:tc>
        <w:tc>
          <w:tcPr>
            <w:tcW w:w="1019" w:type="dxa"/>
            <w:tcBorders>
              <w:top w:val="single" w:color="auto" w:sz="4" w:space="0"/>
              <w:left w:val="single" w:color="auto" w:sz="4" w:space="0"/>
              <w:right w:val="single" w:color="auto" w:sz="4" w:space="0"/>
            </w:tcBorders>
            <w:vAlign w:val="center"/>
          </w:tcPr>
          <w:p w14:paraId="0748263D">
            <w:pPr>
              <w:rPr>
                <w:rFonts w:hint="eastAsia" w:ascii="宋体" w:hAnsi="宋体" w:eastAsia="宋体"/>
                <w:bCs/>
                <w:color w:val="auto"/>
                <w:sz w:val="22"/>
                <w:highlight w:val="none"/>
              </w:rPr>
            </w:pPr>
            <w:r>
              <w:rPr>
                <w:rFonts w:hint="eastAsia" w:ascii="宋体" w:hAnsi="宋体" w:eastAsia="宋体"/>
                <w:bCs/>
                <w:color w:val="auto"/>
                <w:sz w:val="22"/>
                <w:highlight w:val="none"/>
              </w:rPr>
              <w:t>叶经理</w:t>
            </w:r>
          </w:p>
        </w:tc>
        <w:tc>
          <w:tcPr>
            <w:tcW w:w="1725" w:type="dxa"/>
            <w:tcBorders>
              <w:top w:val="single" w:color="auto" w:sz="4" w:space="0"/>
              <w:left w:val="single" w:color="auto" w:sz="4" w:space="0"/>
              <w:right w:val="single" w:color="auto" w:sz="4" w:space="0"/>
            </w:tcBorders>
            <w:vAlign w:val="center"/>
          </w:tcPr>
          <w:p w14:paraId="77FDD385">
            <w:pPr>
              <w:rPr>
                <w:rFonts w:hint="eastAsia" w:ascii="宋体" w:hAnsi="宋体" w:eastAsia="宋体"/>
                <w:bCs/>
                <w:color w:val="auto"/>
                <w:sz w:val="22"/>
                <w:highlight w:val="none"/>
              </w:rPr>
            </w:pPr>
            <w:r>
              <w:rPr>
                <w:rFonts w:hint="eastAsia" w:ascii="宋体" w:hAnsi="宋体" w:eastAsia="宋体"/>
                <w:bCs/>
                <w:color w:val="auto"/>
                <w:sz w:val="22"/>
                <w:highlight w:val="none"/>
              </w:rPr>
              <w:t>0577-88008933</w:t>
            </w:r>
          </w:p>
        </w:tc>
      </w:tr>
      <w:tr w14:paraId="71C23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484" w:type="dxa"/>
            <w:tcBorders>
              <w:top w:val="single" w:color="auto" w:sz="4" w:space="0"/>
              <w:left w:val="single" w:color="auto" w:sz="4" w:space="0"/>
              <w:right w:val="single" w:color="auto" w:sz="4" w:space="0"/>
            </w:tcBorders>
            <w:vAlign w:val="center"/>
          </w:tcPr>
          <w:p w14:paraId="302E2EF7">
            <w:pPr>
              <w:spacing w:line="360" w:lineRule="auto"/>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招商银行股份有限公司温州分行</w:t>
            </w:r>
          </w:p>
        </w:tc>
        <w:tc>
          <w:tcPr>
            <w:tcW w:w="4712" w:type="dxa"/>
            <w:tcBorders>
              <w:top w:val="single" w:color="auto" w:sz="4" w:space="0"/>
              <w:left w:val="single" w:color="auto" w:sz="4" w:space="0"/>
              <w:right w:val="single" w:color="auto" w:sz="4" w:space="0"/>
            </w:tcBorders>
          </w:tcPr>
          <w:p w14:paraId="3624E947">
            <w:pPr>
              <w:rPr>
                <w:rFonts w:hint="eastAsia" w:ascii="宋体" w:hAnsi="宋体" w:eastAsia="宋体"/>
                <w:bCs/>
                <w:color w:val="auto"/>
                <w:sz w:val="22"/>
                <w:highlight w:val="none"/>
              </w:rPr>
            </w:pPr>
            <w:r>
              <w:rPr>
                <w:rFonts w:hint="eastAsia" w:ascii="宋体" w:hAnsi="宋体" w:eastAsia="宋体"/>
                <w:bCs/>
                <w:color w:val="auto"/>
                <w:sz w:val="22"/>
                <w:highlight w:val="none"/>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9" w:type="dxa"/>
            <w:tcBorders>
              <w:top w:val="single" w:color="auto" w:sz="4" w:space="0"/>
              <w:left w:val="single" w:color="auto" w:sz="4" w:space="0"/>
              <w:right w:val="single" w:color="auto" w:sz="4" w:space="0"/>
            </w:tcBorders>
            <w:vAlign w:val="center"/>
          </w:tcPr>
          <w:p w14:paraId="5FE0B19F">
            <w:pPr>
              <w:rPr>
                <w:rFonts w:hint="eastAsia" w:ascii="宋体" w:hAnsi="宋体" w:eastAsia="宋体"/>
                <w:bCs/>
                <w:color w:val="auto"/>
                <w:sz w:val="22"/>
                <w:highlight w:val="none"/>
              </w:rPr>
            </w:pPr>
            <w:r>
              <w:rPr>
                <w:rFonts w:hint="eastAsia" w:ascii="宋体" w:hAnsi="宋体" w:eastAsia="宋体"/>
                <w:bCs/>
                <w:color w:val="auto"/>
                <w:sz w:val="22"/>
                <w:highlight w:val="none"/>
              </w:rPr>
              <w:t>陈经理</w:t>
            </w:r>
          </w:p>
        </w:tc>
        <w:tc>
          <w:tcPr>
            <w:tcW w:w="1725" w:type="dxa"/>
            <w:tcBorders>
              <w:top w:val="single" w:color="auto" w:sz="4" w:space="0"/>
              <w:left w:val="single" w:color="auto" w:sz="4" w:space="0"/>
              <w:right w:val="single" w:color="auto" w:sz="4" w:space="0"/>
            </w:tcBorders>
            <w:vAlign w:val="center"/>
          </w:tcPr>
          <w:p w14:paraId="0FA1EAAD">
            <w:pPr>
              <w:rPr>
                <w:rFonts w:hint="eastAsia" w:ascii="宋体" w:hAnsi="宋体" w:eastAsia="宋体"/>
                <w:bCs/>
                <w:color w:val="auto"/>
                <w:sz w:val="22"/>
                <w:highlight w:val="none"/>
              </w:rPr>
            </w:pPr>
            <w:r>
              <w:rPr>
                <w:rFonts w:hint="eastAsia" w:ascii="宋体" w:hAnsi="宋体" w:eastAsia="宋体"/>
                <w:bCs/>
                <w:color w:val="auto"/>
                <w:sz w:val="22"/>
                <w:highlight w:val="none"/>
              </w:rPr>
              <w:t>0577-88056876</w:t>
            </w:r>
          </w:p>
        </w:tc>
      </w:tr>
      <w:tr w14:paraId="7928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2484" w:type="dxa"/>
            <w:tcBorders>
              <w:top w:val="single" w:color="auto" w:sz="4" w:space="0"/>
              <w:left w:val="single" w:color="auto" w:sz="4" w:space="0"/>
              <w:right w:val="single" w:color="auto" w:sz="4" w:space="0"/>
            </w:tcBorders>
            <w:vAlign w:val="center"/>
          </w:tcPr>
          <w:p w14:paraId="04709338">
            <w:pPr>
              <w:spacing w:line="360" w:lineRule="auto"/>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兴业银行股份有限公司温州分行</w:t>
            </w:r>
          </w:p>
        </w:tc>
        <w:tc>
          <w:tcPr>
            <w:tcW w:w="4712" w:type="dxa"/>
            <w:tcBorders>
              <w:top w:val="single" w:color="auto" w:sz="4" w:space="0"/>
              <w:left w:val="single" w:color="auto" w:sz="4" w:space="0"/>
              <w:right w:val="single" w:color="auto" w:sz="4" w:space="0"/>
            </w:tcBorders>
            <w:vAlign w:val="center"/>
          </w:tcPr>
          <w:p w14:paraId="4FC0F167">
            <w:pP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9" w:type="dxa"/>
            <w:tcBorders>
              <w:top w:val="single" w:color="auto" w:sz="4" w:space="0"/>
              <w:left w:val="single" w:color="auto" w:sz="4" w:space="0"/>
              <w:right w:val="single" w:color="auto" w:sz="4" w:space="0"/>
            </w:tcBorders>
            <w:vAlign w:val="center"/>
          </w:tcPr>
          <w:p w14:paraId="3BEDAA24">
            <w:pPr>
              <w:rPr>
                <w:rFonts w:hint="eastAsia" w:ascii="宋体" w:hAnsi="宋体" w:eastAsia="宋体"/>
                <w:bCs/>
                <w:color w:val="auto"/>
                <w:sz w:val="22"/>
                <w:highlight w:val="none"/>
              </w:rPr>
            </w:pPr>
            <w:r>
              <w:rPr>
                <w:rFonts w:hint="eastAsia" w:ascii="宋体" w:hAnsi="宋体" w:eastAsia="宋体"/>
                <w:bCs/>
                <w:color w:val="auto"/>
                <w:sz w:val="22"/>
                <w:highlight w:val="none"/>
              </w:rPr>
              <w:t>张经理</w:t>
            </w:r>
          </w:p>
          <w:p w14:paraId="69AAD930">
            <w:pPr>
              <w:rPr>
                <w:rFonts w:hint="eastAsia" w:ascii="宋体" w:hAnsi="宋体" w:eastAsia="宋体"/>
                <w:bCs/>
                <w:color w:val="auto"/>
                <w:sz w:val="22"/>
                <w:highlight w:val="none"/>
              </w:rPr>
            </w:pPr>
            <w:r>
              <w:rPr>
                <w:rFonts w:hint="eastAsia" w:ascii="宋体" w:hAnsi="宋体" w:eastAsia="宋体"/>
                <w:bCs/>
                <w:color w:val="auto"/>
                <w:sz w:val="22"/>
                <w:highlight w:val="none"/>
              </w:rPr>
              <w:t>陈经理</w:t>
            </w:r>
          </w:p>
        </w:tc>
        <w:tc>
          <w:tcPr>
            <w:tcW w:w="1725" w:type="dxa"/>
            <w:tcBorders>
              <w:top w:val="single" w:color="auto" w:sz="4" w:space="0"/>
              <w:left w:val="single" w:color="auto" w:sz="4" w:space="0"/>
              <w:right w:val="single" w:color="auto" w:sz="4" w:space="0"/>
            </w:tcBorders>
            <w:vAlign w:val="center"/>
          </w:tcPr>
          <w:p w14:paraId="00646822">
            <w:pPr>
              <w:spacing w:line="360" w:lineRule="auto"/>
              <w:rPr>
                <w:rFonts w:hint="eastAsia" w:ascii="宋体" w:hAnsi="宋体" w:eastAsia="宋体"/>
                <w:bCs/>
                <w:color w:val="auto"/>
                <w:sz w:val="22"/>
                <w:highlight w:val="none"/>
              </w:rPr>
            </w:pPr>
            <w:r>
              <w:rPr>
                <w:rFonts w:hint="eastAsia" w:ascii="宋体" w:hAnsi="宋体" w:eastAsia="宋体"/>
                <w:bCs/>
                <w:color w:val="auto"/>
                <w:sz w:val="22"/>
                <w:highlight w:val="none"/>
              </w:rPr>
              <w:t>0577-88369368/13857713118</w:t>
            </w:r>
          </w:p>
          <w:p w14:paraId="60322878">
            <w:pPr>
              <w:spacing w:line="360" w:lineRule="auto"/>
              <w:rPr>
                <w:rFonts w:hint="eastAsia" w:ascii="宋体" w:hAnsi="宋体" w:eastAsia="宋体"/>
                <w:bCs/>
                <w:color w:val="auto"/>
                <w:sz w:val="22"/>
                <w:highlight w:val="none"/>
              </w:rPr>
            </w:pPr>
            <w:r>
              <w:rPr>
                <w:rFonts w:hint="eastAsia" w:ascii="宋体" w:hAnsi="宋体" w:eastAsia="宋体"/>
                <w:bCs/>
                <w:color w:val="auto"/>
                <w:sz w:val="22"/>
                <w:highlight w:val="none"/>
              </w:rPr>
              <w:t>0577-56969696-52</w:t>
            </w:r>
            <w:r>
              <w:rPr>
                <w:rFonts w:hint="eastAsia" w:ascii="宋体" w:hAnsi="宋体"/>
                <w:bCs/>
                <w:color w:val="auto"/>
                <w:sz w:val="22"/>
                <w:highlight w:val="none"/>
                <w:lang w:eastAsia="zh-CN"/>
              </w:rPr>
              <w:t>131.9784</w:t>
            </w:r>
            <w:r>
              <w:rPr>
                <w:rFonts w:hint="eastAsia" w:ascii="宋体" w:hAnsi="宋体" w:eastAsia="宋体"/>
                <w:bCs/>
                <w:color w:val="auto"/>
                <w:sz w:val="22"/>
                <w:highlight w:val="none"/>
              </w:rPr>
              <w:t>6</w:t>
            </w:r>
          </w:p>
        </w:tc>
      </w:tr>
      <w:tr w14:paraId="11E68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2484" w:type="dxa"/>
            <w:tcBorders>
              <w:top w:val="single" w:color="auto" w:sz="4" w:space="0"/>
              <w:left w:val="single" w:color="auto" w:sz="4" w:space="0"/>
              <w:right w:val="single" w:color="auto" w:sz="4" w:space="0"/>
            </w:tcBorders>
            <w:vAlign w:val="center"/>
          </w:tcPr>
          <w:p w14:paraId="13BA7766">
            <w:pPr>
              <w:spacing w:line="360" w:lineRule="auto"/>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温州银行股份有限公司温州分行</w:t>
            </w:r>
          </w:p>
        </w:tc>
        <w:tc>
          <w:tcPr>
            <w:tcW w:w="4712" w:type="dxa"/>
            <w:tcBorders>
              <w:top w:val="single" w:color="auto" w:sz="4" w:space="0"/>
              <w:left w:val="single" w:color="auto" w:sz="4" w:space="0"/>
              <w:right w:val="single" w:color="auto" w:sz="4" w:space="0"/>
            </w:tcBorders>
          </w:tcPr>
          <w:p w14:paraId="46A3433A">
            <w:pP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9" w:type="dxa"/>
            <w:tcBorders>
              <w:top w:val="single" w:color="auto" w:sz="4" w:space="0"/>
              <w:left w:val="single" w:color="auto" w:sz="4" w:space="0"/>
              <w:right w:val="single" w:color="auto" w:sz="4" w:space="0"/>
            </w:tcBorders>
            <w:vAlign w:val="center"/>
          </w:tcPr>
          <w:p w14:paraId="5459401D">
            <w:pP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陈经理</w:t>
            </w:r>
          </w:p>
        </w:tc>
        <w:tc>
          <w:tcPr>
            <w:tcW w:w="1725" w:type="dxa"/>
            <w:tcBorders>
              <w:top w:val="single" w:color="auto" w:sz="4" w:space="0"/>
              <w:left w:val="single" w:color="auto" w:sz="4" w:space="0"/>
              <w:right w:val="single" w:color="auto" w:sz="4" w:space="0"/>
            </w:tcBorders>
            <w:vAlign w:val="center"/>
          </w:tcPr>
          <w:p w14:paraId="5996DD07">
            <w:pPr>
              <w:rPr>
                <w:rFonts w:hint="eastAsia" w:ascii="宋体" w:hAnsi="宋体" w:eastAsia="宋体"/>
                <w:bCs/>
                <w:color w:val="auto"/>
                <w:sz w:val="22"/>
                <w:highlight w:val="none"/>
              </w:rPr>
            </w:pPr>
            <w:r>
              <w:rPr>
                <w:rFonts w:hint="eastAsia" w:ascii="宋体" w:hAnsi="宋体" w:eastAsia="宋体"/>
                <w:bCs/>
                <w:color w:val="auto"/>
                <w:sz w:val="22"/>
                <w:highlight w:val="none"/>
              </w:rPr>
              <w:t>13736355866</w:t>
            </w:r>
          </w:p>
        </w:tc>
      </w:tr>
      <w:tr w14:paraId="6982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jc w:val="center"/>
        </w:trPr>
        <w:tc>
          <w:tcPr>
            <w:tcW w:w="2484" w:type="dxa"/>
            <w:tcBorders>
              <w:top w:val="single" w:color="auto" w:sz="4" w:space="0"/>
              <w:left w:val="single" w:color="auto" w:sz="4" w:space="0"/>
              <w:right w:val="single" w:color="auto" w:sz="4" w:space="0"/>
            </w:tcBorders>
            <w:vAlign w:val="center"/>
          </w:tcPr>
          <w:p w14:paraId="11E74E43">
            <w:pPr>
              <w:spacing w:line="360" w:lineRule="auto"/>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温州银行股份有限公司鹿城分行</w:t>
            </w:r>
          </w:p>
        </w:tc>
        <w:tc>
          <w:tcPr>
            <w:tcW w:w="4712" w:type="dxa"/>
            <w:tcBorders>
              <w:top w:val="single" w:color="auto" w:sz="4" w:space="0"/>
              <w:left w:val="single" w:color="auto" w:sz="4" w:space="0"/>
              <w:right w:val="single" w:color="auto" w:sz="4" w:space="0"/>
            </w:tcBorders>
          </w:tcPr>
          <w:p w14:paraId="76EF0BF9">
            <w:pPr>
              <w:rPr>
                <w:rFonts w:hint="eastAsia" w:ascii="宋体" w:hAnsi="宋体" w:eastAsia="宋体"/>
                <w:bCs/>
                <w:color w:val="auto"/>
                <w:sz w:val="22"/>
                <w:highlight w:val="none"/>
              </w:rPr>
            </w:pPr>
            <w:r>
              <w:rPr>
                <w:rFonts w:hint="eastAsia" w:ascii="宋体" w:hAnsi="宋体" w:eastAsia="宋体"/>
                <w:bCs/>
                <w:color w:val="auto"/>
                <w:sz w:val="22"/>
                <w:highlight w:val="none"/>
              </w:rPr>
              <w:t>政采订单贷：1、面向政府采购项目供应商，满足供应商资金周转需求，凭中标通知书即可申请，2、秒知额高，最高可贷500万元，单笔业务金额可贷中标金额的80%，</w:t>
            </w:r>
          </w:p>
          <w:p w14:paraId="079D66FC">
            <w:pPr>
              <w:ind w:left="5"/>
              <w:rPr>
                <w:rFonts w:hint="eastAsia" w:ascii="宋体" w:hAnsi="宋体" w:eastAsia="宋体"/>
                <w:bCs/>
                <w:color w:val="auto"/>
                <w:sz w:val="22"/>
                <w:highlight w:val="none"/>
              </w:rPr>
            </w:pPr>
            <w:r>
              <w:rPr>
                <w:rFonts w:hint="eastAsia" w:ascii="宋体" w:hAnsi="宋体" w:eastAsia="宋体"/>
                <w:bCs/>
                <w:color w:val="auto"/>
                <w:sz w:val="22"/>
                <w:highlight w:val="none"/>
              </w:rPr>
              <w:t>最长期限可贷1年。信保贷：1、额度最高可达500万元</w:t>
            </w:r>
          </w:p>
          <w:p w14:paraId="15FB6BB8">
            <w:pPr>
              <w:rPr>
                <w:rFonts w:hint="eastAsia" w:ascii="宋体" w:hAnsi="宋体" w:eastAsia="宋体"/>
                <w:bCs/>
                <w:color w:val="auto"/>
                <w:sz w:val="22"/>
                <w:highlight w:val="none"/>
              </w:rPr>
            </w:pPr>
            <w:r>
              <w:rPr>
                <w:rFonts w:hint="eastAsia" w:ascii="宋体" w:hAnsi="宋体" w:eastAsia="宋体"/>
                <w:bCs/>
                <w:color w:val="auto"/>
                <w:sz w:val="22"/>
                <w:highlight w:val="none"/>
              </w:rPr>
              <w:t>2、担保灵活，信用贷款3、贷款年利率至少可享受本单位一般性中小企业信用贷款利率基础上下浮10%</w:t>
            </w:r>
          </w:p>
        </w:tc>
        <w:tc>
          <w:tcPr>
            <w:tcW w:w="1019" w:type="dxa"/>
            <w:tcBorders>
              <w:top w:val="single" w:color="auto" w:sz="4" w:space="0"/>
              <w:left w:val="single" w:color="auto" w:sz="4" w:space="0"/>
              <w:right w:val="single" w:color="auto" w:sz="4" w:space="0"/>
            </w:tcBorders>
            <w:vAlign w:val="center"/>
          </w:tcPr>
          <w:p w14:paraId="3A5CB5B4">
            <w:pPr>
              <w:rPr>
                <w:rFonts w:hint="eastAsia" w:ascii="宋体" w:hAnsi="宋体" w:eastAsia="宋体"/>
                <w:bCs/>
                <w:color w:val="auto"/>
                <w:sz w:val="22"/>
                <w:highlight w:val="none"/>
              </w:rPr>
            </w:pPr>
            <w:r>
              <w:rPr>
                <w:rFonts w:hint="eastAsia" w:ascii="宋体" w:hAnsi="宋体" w:eastAsia="宋体"/>
                <w:bCs/>
                <w:color w:val="auto"/>
                <w:sz w:val="22"/>
                <w:highlight w:val="none"/>
              </w:rPr>
              <w:t>戴经理</w:t>
            </w:r>
          </w:p>
        </w:tc>
        <w:tc>
          <w:tcPr>
            <w:tcW w:w="1725" w:type="dxa"/>
            <w:tcBorders>
              <w:top w:val="single" w:color="auto" w:sz="4" w:space="0"/>
              <w:left w:val="single" w:color="auto" w:sz="4" w:space="0"/>
              <w:right w:val="single" w:color="auto" w:sz="4" w:space="0"/>
            </w:tcBorders>
            <w:vAlign w:val="center"/>
          </w:tcPr>
          <w:p w14:paraId="575FE408">
            <w:pPr>
              <w:rPr>
                <w:rFonts w:hint="eastAsia" w:ascii="宋体" w:hAnsi="宋体" w:eastAsia="宋体"/>
                <w:bCs/>
                <w:color w:val="auto"/>
                <w:sz w:val="22"/>
                <w:highlight w:val="none"/>
              </w:rPr>
            </w:pPr>
            <w:r>
              <w:rPr>
                <w:rFonts w:hint="eastAsia" w:ascii="宋体" w:hAnsi="宋体" w:eastAsia="宋体"/>
                <w:bCs/>
                <w:color w:val="auto"/>
                <w:sz w:val="22"/>
                <w:highlight w:val="none"/>
              </w:rPr>
              <w:t>13605772302</w:t>
            </w:r>
          </w:p>
        </w:tc>
      </w:tr>
      <w:tr w14:paraId="6AD0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2484" w:type="dxa"/>
            <w:tcBorders>
              <w:top w:val="single" w:color="auto" w:sz="4" w:space="0"/>
              <w:left w:val="single" w:color="auto" w:sz="4" w:space="0"/>
              <w:right w:val="single" w:color="auto" w:sz="4" w:space="0"/>
            </w:tcBorders>
            <w:vAlign w:val="center"/>
          </w:tcPr>
          <w:p w14:paraId="4263A4C3">
            <w:pPr>
              <w:spacing w:line="360" w:lineRule="auto"/>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交通银行股份有限公司温州分行</w:t>
            </w:r>
          </w:p>
        </w:tc>
        <w:tc>
          <w:tcPr>
            <w:tcW w:w="4712" w:type="dxa"/>
            <w:tcBorders>
              <w:top w:val="single" w:color="auto" w:sz="4" w:space="0"/>
              <w:left w:val="single" w:color="auto" w:sz="4" w:space="0"/>
              <w:right w:val="single" w:color="auto" w:sz="4" w:space="0"/>
            </w:tcBorders>
          </w:tcPr>
          <w:p w14:paraId="302A2DE6">
            <w:pPr>
              <w:autoSpaceDE w:val="0"/>
              <w:autoSpaceDN w:val="0"/>
              <w:adjustRightInd w:val="0"/>
              <w:jc w:val="left"/>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9" w:type="dxa"/>
            <w:tcBorders>
              <w:top w:val="single" w:color="auto" w:sz="4" w:space="0"/>
              <w:left w:val="single" w:color="auto" w:sz="4" w:space="0"/>
              <w:right w:val="single" w:color="auto" w:sz="4" w:space="0"/>
            </w:tcBorders>
            <w:vAlign w:val="center"/>
          </w:tcPr>
          <w:p w14:paraId="53D0A5FC">
            <w:pPr>
              <w:rPr>
                <w:rFonts w:hint="eastAsia" w:ascii="宋体" w:hAnsi="宋体" w:eastAsia="宋体"/>
                <w:bCs/>
                <w:color w:val="auto"/>
                <w:sz w:val="22"/>
                <w:highlight w:val="none"/>
              </w:rPr>
            </w:pPr>
            <w:r>
              <w:rPr>
                <w:rFonts w:hint="eastAsia" w:ascii="宋体" w:hAnsi="宋体" w:eastAsia="宋体"/>
                <w:bCs/>
                <w:color w:val="auto"/>
                <w:sz w:val="22"/>
                <w:highlight w:val="none"/>
              </w:rPr>
              <w:t>缪经理</w:t>
            </w:r>
          </w:p>
        </w:tc>
        <w:tc>
          <w:tcPr>
            <w:tcW w:w="1725" w:type="dxa"/>
            <w:tcBorders>
              <w:top w:val="single" w:color="auto" w:sz="4" w:space="0"/>
              <w:left w:val="single" w:color="auto" w:sz="4" w:space="0"/>
              <w:right w:val="single" w:color="auto" w:sz="4" w:space="0"/>
            </w:tcBorders>
            <w:vAlign w:val="center"/>
          </w:tcPr>
          <w:p w14:paraId="6F51879B">
            <w:pPr>
              <w:rPr>
                <w:rFonts w:hint="eastAsia" w:ascii="宋体" w:hAnsi="宋体" w:eastAsia="宋体"/>
                <w:bCs/>
                <w:color w:val="auto"/>
                <w:sz w:val="22"/>
                <w:highlight w:val="none"/>
              </w:rPr>
            </w:pPr>
            <w:r>
              <w:rPr>
                <w:rFonts w:hint="eastAsia" w:ascii="宋体" w:hAnsi="宋体" w:eastAsia="宋体"/>
                <w:bCs/>
                <w:color w:val="auto"/>
                <w:sz w:val="22"/>
                <w:highlight w:val="none"/>
              </w:rPr>
              <w:t>0577-88248454</w:t>
            </w:r>
          </w:p>
        </w:tc>
      </w:tr>
      <w:tr w14:paraId="1B2F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484" w:type="dxa"/>
            <w:tcBorders>
              <w:top w:val="single" w:color="auto" w:sz="4" w:space="0"/>
              <w:left w:val="single" w:color="auto" w:sz="4" w:space="0"/>
              <w:right w:val="single" w:color="auto" w:sz="4" w:space="0"/>
            </w:tcBorders>
            <w:vAlign w:val="center"/>
          </w:tcPr>
          <w:p w14:paraId="13BA6750">
            <w:pPr>
              <w:spacing w:line="360" w:lineRule="auto"/>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上海浦东发展银行股份有限公司温州分行</w:t>
            </w:r>
          </w:p>
        </w:tc>
        <w:tc>
          <w:tcPr>
            <w:tcW w:w="4712" w:type="dxa"/>
            <w:tcBorders>
              <w:top w:val="single" w:color="auto" w:sz="4" w:space="0"/>
              <w:left w:val="single" w:color="auto" w:sz="4" w:space="0"/>
              <w:right w:val="single" w:color="auto" w:sz="4" w:space="0"/>
            </w:tcBorders>
          </w:tcPr>
          <w:p w14:paraId="46D3052D">
            <w:pPr>
              <w:jc w:val="left"/>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政采e贷：是浦发银行面向温州地区经营状况良好的小微企业政府采购项目供应商所提供的专属政府采购订单融资产品。产品特点：纯信用、免担保、门槛低、授信快、在线贷、秒放款</w:t>
            </w:r>
          </w:p>
          <w:p w14:paraId="662D0193">
            <w:pPr>
              <w:shd w:val="clear" w:color="auto" w:fill="FFFFFF"/>
              <w:jc w:val="left"/>
              <w:rPr>
                <w:rFonts w:hint="eastAsia" w:ascii="宋体" w:hAnsi="宋体" w:eastAsia="宋体"/>
                <w:bCs/>
                <w:color w:val="auto"/>
                <w:sz w:val="22"/>
                <w:highlight w:val="none"/>
              </w:rPr>
            </w:pPr>
            <w:r>
              <w:rPr>
                <w:rFonts w:hint="eastAsia" w:ascii="宋体" w:hAnsi="宋体" w:eastAsia="宋体" w:cs="宋体"/>
                <w:bCs/>
                <w:color w:val="auto"/>
                <w:sz w:val="22"/>
                <w:highlight w:val="none"/>
              </w:rPr>
              <w:t>所需材料：企业基础证件、相关中标文件（中标通知书、采购合同等）、其他必要文件</w:t>
            </w:r>
          </w:p>
        </w:tc>
        <w:tc>
          <w:tcPr>
            <w:tcW w:w="1019" w:type="dxa"/>
            <w:tcBorders>
              <w:top w:val="single" w:color="auto" w:sz="4" w:space="0"/>
              <w:left w:val="single" w:color="auto" w:sz="4" w:space="0"/>
              <w:right w:val="single" w:color="auto" w:sz="4" w:space="0"/>
            </w:tcBorders>
            <w:vAlign w:val="center"/>
          </w:tcPr>
          <w:p w14:paraId="44C228CC">
            <w:pP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叶经理</w:t>
            </w:r>
          </w:p>
        </w:tc>
        <w:tc>
          <w:tcPr>
            <w:tcW w:w="1725" w:type="dxa"/>
            <w:tcBorders>
              <w:top w:val="single" w:color="auto" w:sz="4" w:space="0"/>
              <w:left w:val="single" w:color="auto" w:sz="4" w:space="0"/>
              <w:right w:val="single" w:color="auto" w:sz="4" w:space="0"/>
            </w:tcBorders>
            <w:vAlign w:val="center"/>
          </w:tcPr>
          <w:p w14:paraId="7CBE5503">
            <w:pPr>
              <w:rPr>
                <w:rFonts w:hint="eastAsia" w:ascii="宋体" w:hAnsi="宋体" w:eastAsia="宋体"/>
                <w:bCs/>
                <w:color w:val="auto"/>
                <w:sz w:val="22"/>
                <w:highlight w:val="none"/>
              </w:rPr>
            </w:pPr>
            <w:r>
              <w:rPr>
                <w:rFonts w:hint="eastAsia" w:ascii="宋体" w:hAnsi="宋体" w:eastAsia="宋体"/>
                <w:bCs/>
                <w:color w:val="auto"/>
                <w:sz w:val="22"/>
                <w:highlight w:val="none"/>
              </w:rPr>
              <w:t>0577-55570829</w:t>
            </w:r>
          </w:p>
        </w:tc>
      </w:tr>
    </w:tbl>
    <w:p w14:paraId="5CBDD1BC">
      <w:pPr>
        <w:jc w:val="center"/>
        <w:rPr>
          <w:color w:val="auto"/>
          <w:sz w:val="36"/>
          <w:szCs w:val="36"/>
          <w:highlight w:val="none"/>
        </w:rPr>
      </w:pPr>
    </w:p>
    <w:p w14:paraId="0FCA1B1D">
      <w:pPr>
        <w:rPr>
          <w:color w:val="auto"/>
          <w:sz w:val="28"/>
          <w:szCs w:val="36"/>
          <w:highlight w:val="none"/>
        </w:rPr>
      </w:pPr>
    </w:p>
    <w:p w14:paraId="11D71565">
      <w:pPr>
        <w:jc w:val="center"/>
        <w:rPr>
          <w:color w:val="auto"/>
          <w:sz w:val="28"/>
          <w:szCs w:val="36"/>
          <w:highlight w:val="none"/>
        </w:rPr>
      </w:pPr>
    </w:p>
    <w:p w14:paraId="3D03DCEE">
      <w:pPr>
        <w:jc w:val="center"/>
        <w:rPr>
          <w:color w:val="auto"/>
          <w:sz w:val="28"/>
          <w:szCs w:val="36"/>
          <w:highlight w:val="none"/>
        </w:rPr>
      </w:pPr>
      <w:r>
        <w:rPr>
          <w:rFonts w:hint="eastAsia"/>
          <w:color w:val="auto"/>
          <w:sz w:val="28"/>
          <w:szCs w:val="36"/>
          <w:highlight w:val="none"/>
        </w:rPr>
        <w:t>温州市政府采购信用融资意向银行选择表</w:t>
      </w:r>
    </w:p>
    <w:p w14:paraId="1EE674BD">
      <w:pPr>
        <w:jc w:val="center"/>
        <w:rPr>
          <w:color w:val="auto"/>
          <w:sz w:val="28"/>
          <w:szCs w:val="36"/>
          <w:highlight w:val="none"/>
        </w:rPr>
      </w:pPr>
      <w:r>
        <w:rPr>
          <w:rFonts w:hint="eastAsia"/>
          <w:color w:val="auto"/>
          <w:sz w:val="24"/>
          <w:szCs w:val="32"/>
          <w:highlight w:val="none"/>
        </w:rPr>
        <w:t>（温州市供应商填写）</w:t>
      </w:r>
    </w:p>
    <w:tbl>
      <w:tblPr>
        <w:tblStyle w:val="38"/>
        <w:tblW w:w="96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2571"/>
        <w:gridCol w:w="1607"/>
        <w:gridCol w:w="965"/>
        <w:gridCol w:w="1767"/>
        <w:gridCol w:w="861"/>
      </w:tblGrid>
      <w:tr w14:paraId="2D7C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91" w:type="dxa"/>
            <w:vAlign w:val="center"/>
          </w:tcPr>
          <w:p w14:paraId="777D390B">
            <w:pPr>
              <w:spacing w:line="360" w:lineRule="auto"/>
              <w:jc w:val="center"/>
              <w:rPr>
                <w:rFonts w:hint="eastAsia" w:ascii="宋体" w:eastAsia="宋体" w:cs="宋体"/>
                <w:color w:val="auto"/>
                <w:sz w:val="22"/>
                <w:szCs w:val="28"/>
                <w:highlight w:val="none"/>
              </w:rPr>
            </w:pPr>
            <w:r>
              <w:rPr>
                <w:rFonts w:hint="eastAsia" w:ascii="宋体" w:eastAsia="宋体" w:cs="宋体"/>
                <w:color w:val="auto"/>
                <w:sz w:val="22"/>
                <w:szCs w:val="28"/>
                <w:highlight w:val="none"/>
              </w:rPr>
              <w:t>企业名称</w:t>
            </w:r>
          </w:p>
        </w:tc>
        <w:tc>
          <w:tcPr>
            <w:tcW w:w="7770" w:type="dxa"/>
            <w:gridSpan w:val="5"/>
            <w:vAlign w:val="center"/>
          </w:tcPr>
          <w:p w14:paraId="5F73F113">
            <w:pPr>
              <w:spacing w:line="360" w:lineRule="auto"/>
              <w:jc w:val="center"/>
              <w:rPr>
                <w:rFonts w:hint="eastAsia" w:ascii="宋体" w:eastAsia="宋体" w:cs="宋体"/>
                <w:color w:val="auto"/>
                <w:sz w:val="22"/>
                <w:szCs w:val="28"/>
                <w:highlight w:val="none"/>
              </w:rPr>
            </w:pPr>
          </w:p>
        </w:tc>
      </w:tr>
      <w:tr w14:paraId="30539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91" w:type="dxa"/>
            <w:tcBorders>
              <w:top w:val="single" w:color="auto" w:sz="4" w:space="0"/>
              <w:left w:val="single" w:color="auto" w:sz="4" w:space="0"/>
              <w:right w:val="single" w:color="auto" w:sz="4" w:space="0"/>
            </w:tcBorders>
            <w:vAlign w:val="center"/>
          </w:tcPr>
          <w:p w14:paraId="493426ED">
            <w:pPr>
              <w:spacing w:line="360" w:lineRule="auto"/>
              <w:jc w:val="center"/>
              <w:rPr>
                <w:rFonts w:hint="eastAsia" w:ascii="宋体" w:eastAsia="宋体" w:cs="宋体"/>
                <w:color w:val="auto"/>
                <w:sz w:val="22"/>
                <w:szCs w:val="28"/>
                <w:highlight w:val="none"/>
              </w:rPr>
            </w:pPr>
            <w:r>
              <w:rPr>
                <w:rFonts w:hint="eastAsia" w:ascii="宋体" w:eastAsia="宋体" w:cs="宋体"/>
                <w:color w:val="auto"/>
                <w:sz w:val="22"/>
                <w:szCs w:val="28"/>
                <w:highlight w:val="none"/>
              </w:rPr>
              <w:t>企业注册地</w:t>
            </w:r>
          </w:p>
        </w:tc>
        <w:tc>
          <w:tcPr>
            <w:tcW w:w="4178" w:type="dxa"/>
            <w:gridSpan w:val="2"/>
            <w:tcBorders>
              <w:top w:val="single" w:color="auto" w:sz="4" w:space="0"/>
              <w:left w:val="single" w:color="auto" w:sz="4" w:space="0"/>
              <w:right w:val="single" w:color="auto" w:sz="4" w:space="0"/>
            </w:tcBorders>
            <w:vAlign w:val="center"/>
          </w:tcPr>
          <w:p w14:paraId="302F9423">
            <w:pPr>
              <w:spacing w:line="360" w:lineRule="auto"/>
              <w:jc w:val="center"/>
              <w:rPr>
                <w:rFonts w:hint="eastAsia" w:ascii="宋体" w:eastAsia="宋体" w:cs="宋体"/>
                <w:color w:val="auto"/>
                <w:sz w:val="22"/>
                <w:szCs w:val="28"/>
                <w:highlight w:val="none"/>
              </w:rPr>
            </w:pPr>
          </w:p>
        </w:tc>
        <w:tc>
          <w:tcPr>
            <w:tcW w:w="2732" w:type="dxa"/>
            <w:gridSpan w:val="2"/>
            <w:tcBorders>
              <w:top w:val="single" w:color="auto" w:sz="4" w:space="0"/>
              <w:left w:val="single" w:color="auto" w:sz="4" w:space="0"/>
              <w:right w:val="single" w:color="auto" w:sz="4" w:space="0"/>
            </w:tcBorders>
            <w:vAlign w:val="center"/>
          </w:tcPr>
          <w:p w14:paraId="5DA5A363">
            <w:pPr>
              <w:spacing w:line="360" w:lineRule="auto"/>
              <w:jc w:val="center"/>
              <w:rPr>
                <w:rFonts w:hint="eastAsia" w:ascii="宋体" w:eastAsia="宋体" w:cs="宋体"/>
                <w:color w:val="auto"/>
                <w:sz w:val="22"/>
                <w:szCs w:val="28"/>
                <w:highlight w:val="none"/>
              </w:rPr>
            </w:pPr>
            <w:r>
              <w:rPr>
                <w:rFonts w:hint="eastAsia" w:ascii="宋体" w:eastAsia="宋体" w:cs="宋体"/>
                <w:color w:val="auto"/>
                <w:sz w:val="22"/>
                <w:szCs w:val="28"/>
                <w:highlight w:val="none"/>
              </w:rPr>
              <w:t>是否有融资意向</w:t>
            </w:r>
          </w:p>
        </w:tc>
        <w:tc>
          <w:tcPr>
            <w:tcW w:w="860" w:type="dxa"/>
            <w:tcBorders>
              <w:top w:val="single" w:color="auto" w:sz="4" w:space="0"/>
              <w:left w:val="single" w:color="auto" w:sz="4" w:space="0"/>
              <w:right w:val="single" w:color="auto" w:sz="4" w:space="0"/>
            </w:tcBorders>
            <w:vAlign w:val="center"/>
          </w:tcPr>
          <w:p w14:paraId="4D41CAA7">
            <w:pPr>
              <w:spacing w:line="360" w:lineRule="auto"/>
              <w:jc w:val="center"/>
              <w:rPr>
                <w:rFonts w:hint="eastAsia" w:ascii="宋体" w:eastAsia="宋体" w:cs="宋体"/>
                <w:color w:val="auto"/>
                <w:sz w:val="22"/>
                <w:szCs w:val="28"/>
                <w:highlight w:val="none"/>
              </w:rPr>
            </w:pPr>
          </w:p>
        </w:tc>
      </w:tr>
      <w:tr w14:paraId="11B0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891" w:type="dxa"/>
            <w:tcBorders>
              <w:top w:val="single" w:color="auto" w:sz="4" w:space="0"/>
              <w:left w:val="single" w:color="auto" w:sz="4" w:space="0"/>
              <w:right w:val="single" w:color="auto" w:sz="4" w:space="0"/>
            </w:tcBorders>
            <w:vAlign w:val="center"/>
          </w:tcPr>
          <w:p w14:paraId="41BB5A10">
            <w:pPr>
              <w:spacing w:line="360" w:lineRule="auto"/>
              <w:jc w:val="center"/>
              <w:rPr>
                <w:rFonts w:hint="eastAsia" w:ascii="宋体" w:eastAsia="宋体" w:cs="宋体"/>
                <w:color w:val="auto"/>
                <w:sz w:val="22"/>
                <w:szCs w:val="28"/>
                <w:highlight w:val="none"/>
              </w:rPr>
            </w:pPr>
            <w:r>
              <w:rPr>
                <w:rFonts w:hint="eastAsia" w:ascii="宋体" w:eastAsia="宋体" w:cs="宋体"/>
                <w:color w:val="auto"/>
                <w:sz w:val="22"/>
                <w:szCs w:val="28"/>
                <w:highlight w:val="none"/>
              </w:rPr>
              <w:t>融资联系人</w:t>
            </w:r>
          </w:p>
        </w:tc>
        <w:tc>
          <w:tcPr>
            <w:tcW w:w="2571" w:type="dxa"/>
            <w:tcBorders>
              <w:top w:val="single" w:color="auto" w:sz="4" w:space="0"/>
              <w:left w:val="single" w:color="auto" w:sz="4" w:space="0"/>
              <w:right w:val="single" w:color="auto" w:sz="4" w:space="0"/>
            </w:tcBorders>
            <w:vAlign w:val="center"/>
          </w:tcPr>
          <w:p w14:paraId="220A86A9">
            <w:pPr>
              <w:spacing w:line="360" w:lineRule="auto"/>
              <w:jc w:val="center"/>
              <w:rPr>
                <w:rFonts w:hint="eastAsia" w:ascii="宋体" w:eastAsia="宋体" w:cs="宋体"/>
                <w:color w:val="auto"/>
                <w:sz w:val="22"/>
                <w:szCs w:val="28"/>
                <w:highlight w:val="none"/>
              </w:rPr>
            </w:pPr>
          </w:p>
        </w:tc>
        <w:tc>
          <w:tcPr>
            <w:tcW w:w="2571" w:type="dxa"/>
            <w:gridSpan w:val="2"/>
            <w:tcBorders>
              <w:top w:val="single" w:color="auto" w:sz="4" w:space="0"/>
              <w:left w:val="single" w:color="auto" w:sz="4" w:space="0"/>
              <w:right w:val="single" w:color="auto" w:sz="4" w:space="0"/>
            </w:tcBorders>
            <w:vAlign w:val="center"/>
          </w:tcPr>
          <w:p w14:paraId="077CC389">
            <w:pPr>
              <w:spacing w:line="360" w:lineRule="auto"/>
              <w:jc w:val="center"/>
              <w:rPr>
                <w:rFonts w:hint="eastAsia" w:ascii="宋体" w:eastAsia="宋体" w:cs="宋体"/>
                <w:color w:val="auto"/>
                <w:sz w:val="22"/>
                <w:szCs w:val="28"/>
                <w:highlight w:val="none"/>
              </w:rPr>
            </w:pPr>
            <w:r>
              <w:rPr>
                <w:rFonts w:hint="eastAsia" w:ascii="宋体" w:eastAsia="宋体" w:cs="宋体"/>
                <w:color w:val="auto"/>
                <w:sz w:val="22"/>
                <w:szCs w:val="28"/>
                <w:highlight w:val="none"/>
              </w:rPr>
              <w:t>联系方式</w:t>
            </w:r>
          </w:p>
        </w:tc>
        <w:tc>
          <w:tcPr>
            <w:tcW w:w="2628" w:type="dxa"/>
            <w:gridSpan w:val="2"/>
            <w:tcBorders>
              <w:top w:val="single" w:color="auto" w:sz="4" w:space="0"/>
              <w:left w:val="single" w:color="auto" w:sz="4" w:space="0"/>
              <w:right w:val="single" w:color="auto" w:sz="4" w:space="0"/>
            </w:tcBorders>
            <w:vAlign w:val="center"/>
          </w:tcPr>
          <w:p w14:paraId="69E39BE6">
            <w:pPr>
              <w:spacing w:line="360" w:lineRule="auto"/>
              <w:jc w:val="center"/>
              <w:rPr>
                <w:rFonts w:hint="eastAsia" w:ascii="宋体" w:eastAsia="宋体" w:cs="宋体"/>
                <w:color w:val="auto"/>
                <w:sz w:val="22"/>
                <w:szCs w:val="28"/>
                <w:highlight w:val="none"/>
              </w:rPr>
            </w:pPr>
          </w:p>
        </w:tc>
      </w:tr>
      <w:tr w14:paraId="3DD0B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34" w:type="dxa"/>
            <w:gridSpan w:val="4"/>
            <w:tcBorders>
              <w:top w:val="single" w:color="auto" w:sz="4" w:space="0"/>
              <w:left w:val="single" w:color="auto" w:sz="4" w:space="0"/>
              <w:right w:val="single" w:color="auto" w:sz="4" w:space="0"/>
            </w:tcBorders>
            <w:vAlign w:val="center"/>
          </w:tcPr>
          <w:p w14:paraId="7D9EA2CA">
            <w:pPr>
              <w:spacing w:line="360" w:lineRule="auto"/>
              <w:jc w:val="center"/>
              <w:rPr>
                <w:rFonts w:hint="eastAsia" w:ascii="宋体" w:eastAsia="宋体" w:cs="宋体"/>
                <w:color w:val="auto"/>
                <w:sz w:val="24"/>
                <w:szCs w:val="30"/>
                <w:highlight w:val="none"/>
              </w:rPr>
            </w:pPr>
            <w:r>
              <w:rPr>
                <w:rFonts w:hint="eastAsia" w:ascii="宋体" w:eastAsia="宋体" w:cs="宋体"/>
                <w:color w:val="auto"/>
                <w:sz w:val="24"/>
                <w:szCs w:val="30"/>
                <w:highlight w:val="none"/>
              </w:rPr>
              <w:t>温州市政府采购信用融资合作银行</w:t>
            </w:r>
          </w:p>
        </w:tc>
        <w:tc>
          <w:tcPr>
            <w:tcW w:w="2628" w:type="dxa"/>
            <w:gridSpan w:val="2"/>
            <w:tcBorders>
              <w:top w:val="single" w:color="auto" w:sz="4" w:space="0"/>
              <w:left w:val="single" w:color="auto" w:sz="4" w:space="0"/>
              <w:right w:val="single" w:color="auto" w:sz="4" w:space="0"/>
            </w:tcBorders>
          </w:tcPr>
          <w:p w14:paraId="7CD90998">
            <w:pPr>
              <w:spacing w:line="360" w:lineRule="auto"/>
              <w:jc w:val="center"/>
              <w:rPr>
                <w:rFonts w:hint="eastAsia" w:ascii="宋体" w:eastAsia="宋体" w:cs="宋体"/>
                <w:color w:val="auto"/>
                <w:sz w:val="24"/>
                <w:szCs w:val="30"/>
                <w:highlight w:val="none"/>
              </w:rPr>
            </w:pPr>
            <w:r>
              <w:rPr>
                <w:rFonts w:hint="eastAsia" w:ascii="宋体" w:eastAsia="宋体" w:cs="宋体"/>
                <w:color w:val="auto"/>
                <w:sz w:val="24"/>
                <w:szCs w:val="30"/>
                <w:highlight w:val="none"/>
              </w:rPr>
              <w:t>选择作为意向融资银行（可多选）</w:t>
            </w:r>
          </w:p>
        </w:tc>
      </w:tr>
      <w:tr w14:paraId="54605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tcBorders>
              <w:top w:val="single" w:color="auto" w:sz="4" w:space="0"/>
              <w:left w:val="single" w:color="auto" w:sz="4" w:space="0"/>
              <w:right w:val="single" w:color="auto" w:sz="4" w:space="0"/>
            </w:tcBorders>
            <w:vAlign w:val="center"/>
          </w:tcPr>
          <w:p w14:paraId="253C4F19">
            <w:pPr>
              <w:spacing w:line="360" w:lineRule="auto"/>
              <w:rPr>
                <w:rFonts w:hint="eastAsia" w:ascii="宋体" w:eastAsia="宋体" w:cs="宋体"/>
                <w:color w:val="auto"/>
                <w:sz w:val="24"/>
                <w:szCs w:val="30"/>
                <w:highlight w:val="none"/>
              </w:rPr>
            </w:pPr>
            <w:r>
              <w:rPr>
                <w:rFonts w:hint="eastAsia" w:ascii="宋体" w:eastAsia="宋体" w:cs="宋体"/>
                <w:color w:val="auto"/>
                <w:sz w:val="24"/>
                <w:szCs w:val="30"/>
                <w:highlight w:val="none"/>
              </w:rPr>
              <w:t>温州银行股份有限公司温州分行</w:t>
            </w:r>
          </w:p>
        </w:tc>
        <w:tc>
          <w:tcPr>
            <w:tcW w:w="2628" w:type="dxa"/>
            <w:gridSpan w:val="2"/>
            <w:tcBorders>
              <w:top w:val="single" w:color="auto" w:sz="4" w:space="0"/>
              <w:left w:val="single" w:color="auto" w:sz="4" w:space="0"/>
              <w:right w:val="single" w:color="auto" w:sz="4" w:space="0"/>
            </w:tcBorders>
          </w:tcPr>
          <w:p w14:paraId="5D8DFB5A">
            <w:pPr>
              <w:spacing w:line="360" w:lineRule="auto"/>
              <w:jc w:val="left"/>
              <w:rPr>
                <w:rFonts w:hint="eastAsia" w:ascii="宋体" w:eastAsia="宋体" w:cs="宋体"/>
                <w:color w:val="auto"/>
                <w:sz w:val="24"/>
                <w:szCs w:val="30"/>
                <w:highlight w:val="none"/>
              </w:rPr>
            </w:pPr>
          </w:p>
        </w:tc>
      </w:tr>
      <w:tr w14:paraId="7729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tcBorders>
              <w:top w:val="single" w:color="auto" w:sz="4" w:space="0"/>
              <w:left w:val="single" w:color="auto" w:sz="4" w:space="0"/>
              <w:right w:val="single" w:color="auto" w:sz="4" w:space="0"/>
            </w:tcBorders>
            <w:vAlign w:val="center"/>
          </w:tcPr>
          <w:p w14:paraId="574E881B">
            <w:pPr>
              <w:spacing w:line="360" w:lineRule="auto"/>
              <w:rPr>
                <w:rFonts w:hint="eastAsia" w:ascii="宋体" w:eastAsia="宋体" w:cs="宋体"/>
                <w:color w:val="auto"/>
                <w:sz w:val="24"/>
                <w:szCs w:val="30"/>
                <w:highlight w:val="none"/>
              </w:rPr>
            </w:pPr>
            <w:r>
              <w:rPr>
                <w:rFonts w:hint="eastAsia" w:ascii="宋体" w:eastAsia="宋体" w:cs="宋体"/>
                <w:color w:val="auto"/>
                <w:sz w:val="24"/>
                <w:szCs w:val="30"/>
                <w:highlight w:val="none"/>
              </w:rPr>
              <w:t>温州银行股份有限公司鹿城分行</w:t>
            </w:r>
          </w:p>
        </w:tc>
        <w:tc>
          <w:tcPr>
            <w:tcW w:w="2628" w:type="dxa"/>
            <w:gridSpan w:val="2"/>
            <w:tcBorders>
              <w:top w:val="single" w:color="auto" w:sz="4" w:space="0"/>
              <w:left w:val="single" w:color="auto" w:sz="4" w:space="0"/>
              <w:right w:val="single" w:color="auto" w:sz="4" w:space="0"/>
            </w:tcBorders>
          </w:tcPr>
          <w:p w14:paraId="6A985C2D">
            <w:pPr>
              <w:spacing w:line="360" w:lineRule="auto"/>
              <w:jc w:val="left"/>
              <w:rPr>
                <w:rFonts w:hint="eastAsia" w:ascii="宋体" w:eastAsia="宋体" w:cs="宋体"/>
                <w:color w:val="auto"/>
                <w:sz w:val="24"/>
                <w:szCs w:val="30"/>
                <w:highlight w:val="none"/>
              </w:rPr>
            </w:pPr>
          </w:p>
        </w:tc>
      </w:tr>
      <w:tr w14:paraId="06D38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tcBorders>
              <w:top w:val="single" w:color="auto" w:sz="4" w:space="0"/>
              <w:left w:val="single" w:color="auto" w:sz="4" w:space="0"/>
              <w:right w:val="single" w:color="auto" w:sz="4" w:space="0"/>
            </w:tcBorders>
            <w:vAlign w:val="center"/>
          </w:tcPr>
          <w:p w14:paraId="561C9934">
            <w:pPr>
              <w:spacing w:line="360" w:lineRule="auto"/>
              <w:rPr>
                <w:rFonts w:hint="eastAsia" w:ascii="宋体" w:eastAsia="宋体" w:cs="宋体"/>
                <w:color w:val="auto"/>
                <w:sz w:val="24"/>
                <w:szCs w:val="30"/>
                <w:highlight w:val="none"/>
              </w:rPr>
            </w:pPr>
            <w:r>
              <w:rPr>
                <w:rFonts w:hint="eastAsia" w:ascii="宋体" w:eastAsia="宋体" w:cs="宋体"/>
                <w:color w:val="auto"/>
                <w:sz w:val="24"/>
                <w:szCs w:val="30"/>
                <w:highlight w:val="none"/>
              </w:rPr>
              <w:t>中国工商银行股份有限公司温州分行</w:t>
            </w:r>
          </w:p>
        </w:tc>
        <w:tc>
          <w:tcPr>
            <w:tcW w:w="2628" w:type="dxa"/>
            <w:gridSpan w:val="2"/>
            <w:tcBorders>
              <w:top w:val="single" w:color="auto" w:sz="4" w:space="0"/>
              <w:left w:val="single" w:color="auto" w:sz="4" w:space="0"/>
              <w:right w:val="single" w:color="auto" w:sz="4" w:space="0"/>
            </w:tcBorders>
          </w:tcPr>
          <w:p w14:paraId="72811EA5">
            <w:pPr>
              <w:spacing w:line="360" w:lineRule="auto"/>
              <w:jc w:val="left"/>
              <w:rPr>
                <w:rFonts w:hint="eastAsia" w:ascii="宋体" w:eastAsia="宋体" w:cs="宋体"/>
                <w:color w:val="auto"/>
                <w:sz w:val="24"/>
                <w:szCs w:val="30"/>
                <w:highlight w:val="none"/>
              </w:rPr>
            </w:pPr>
          </w:p>
        </w:tc>
      </w:tr>
      <w:tr w14:paraId="741E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tcBorders>
              <w:top w:val="single" w:color="auto" w:sz="4" w:space="0"/>
              <w:left w:val="single" w:color="auto" w:sz="4" w:space="0"/>
              <w:right w:val="single" w:color="auto" w:sz="4" w:space="0"/>
            </w:tcBorders>
            <w:vAlign w:val="center"/>
          </w:tcPr>
          <w:p w14:paraId="0BBE1C1D">
            <w:pPr>
              <w:spacing w:line="360" w:lineRule="auto"/>
              <w:rPr>
                <w:rFonts w:hint="eastAsia" w:ascii="宋体" w:eastAsia="宋体" w:cs="宋体"/>
                <w:color w:val="auto"/>
                <w:sz w:val="24"/>
                <w:szCs w:val="30"/>
                <w:highlight w:val="none"/>
              </w:rPr>
            </w:pPr>
            <w:r>
              <w:rPr>
                <w:rFonts w:hint="eastAsia" w:ascii="宋体" w:eastAsia="宋体" w:cs="宋体"/>
                <w:color w:val="auto"/>
                <w:sz w:val="24"/>
                <w:szCs w:val="30"/>
                <w:highlight w:val="none"/>
              </w:rPr>
              <w:t>中国建设银行股份有限公司温州分行</w:t>
            </w:r>
          </w:p>
        </w:tc>
        <w:tc>
          <w:tcPr>
            <w:tcW w:w="2628" w:type="dxa"/>
            <w:gridSpan w:val="2"/>
            <w:tcBorders>
              <w:top w:val="single" w:color="auto" w:sz="4" w:space="0"/>
              <w:left w:val="single" w:color="auto" w:sz="4" w:space="0"/>
              <w:right w:val="single" w:color="auto" w:sz="4" w:space="0"/>
            </w:tcBorders>
          </w:tcPr>
          <w:p w14:paraId="0F8E08E3">
            <w:pPr>
              <w:spacing w:line="360" w:lineRule="auto"/>
              <w:rPr>
                <w:rFonts w:hint="eastAsia" w:ascii="宋体" w:eastAsia="宋体" w:cs="宋体"/>
                <w:color w:val="auto"/>
                <w:sz w:val="24"/>
                <w:szCs w:val="30"/>
                <w:highlight w:val="none"/>
              </w:rPr>
            </w:pPr>
          </w:p>
        </w:tc>
      </w:tr>
      <w:tr w14:paraId="70F6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tcBorders>
              <w:top w:val="single" w:color="auto" w:sz="4" w:space="0"/>
              <w:left w:val="single" w:color="auto" w:sz="4" w:space="0"/>
              <w:right w:val="single" w:color="auto" w:sz="4" w:space="0"/>
            </w:tcBorders>
            <w:vAlign w:val="center"/>
          </w:tcPr>
          <w:p w14:paraId="45D53C69">
            <w:pPr>
              <w:spacing w:line="360" w:lineRule="auto"/>
              <w:rPr>
                <w:rFonts w:hint="eastAsia" w:ascii="宋体" w:eastAsia="宋体" w:cs="宋体"/>
                <w:color w:val="auto"/>
                <w:sz w:val="24"/>
                <w:szCs w:val="30"/>
                <w:highlight w:val="none"/>
              </w:rPr>
            </w:pPr>
            <w:r>
              <w:rPr>
                <w:rFonts w:hint="eastAsia" w:ascii="宋体" w:eastAsia="宋体" w:cs="宋体"/>
                <w:color w:val="auto"/>
                <w:sz w:val="24"/>
                <w:szCs w:val="30"/>
                <w:highlight w:val="none"/>
              </w:rPr>
              <w:t>中国邮政储蓄银行股份有限公司温州市分行</w:t>
            </w:r>
          </w:p>
        </w:tc>
        <w:tc>
          <w:tcPr>
            <w:tcW w:w="2628" w:type="dxa"/>
            <w:gridSpan w:val="2"/>
            <w:tcBorders>
              <w:top w:val="single" w:color="auto" w:sz="4" w:space="0"/>
              <w:left w:val="single" w:color="auto" w:sz="4" w:space="0"/>
              <w:right w:val="single" w:color="auto" w:sz="4" w:space="0"/>
            </w:tcBorders>
          </w:tcPr>
          <w:p w14:paraId="56F000CA">
            <w:pPr>
              <w:spacing w:line="360" w:lineRule="auto"/>
              <w:jc w:val="left"/>
              <w:rPr>
                <w:rFonts w:hint="eastAsia" w:ascii="宋体" w:eastAsia="宋体" w:cs="宋体"/>
                <w:color w:val="auto"/>
                <w:sz w:val="24"/>
                <w:szCs w:val="30"/>
                <w:highlight w:val="none"/>
              </w:rPr>
            </w:pPr>
          </w:p>
        </w:tc>
      </w:tr>
      <w:tr w14:paraId="708C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tcBorders>
              <w:top w:val="single" w:color="auto" w:sz="4" w:space="0"/>
              <w:left w:val="single" w:color="auto" w:sz="4" w:space="0"/>
              <w:right w:val="single" w:color="auto" w:sz="4" w:space="0"/>
            </w:tcBorders>
            <w:vAlign w:val="center"/>
          </w:tcPr>
          <w:p w14:paraId="6CE98DE5">
            <w:pPr>
              <w:spacing w:line="360" w:lineRule="auto"/>
              <w:rPr>
                <w:rFonts w:hint="eastAsia" w:ascii="宋体" w:eastAsia="宋体" w:cs="宋体"/>
                <w:color w:val="auto"/>
                <w:sz w:val="24"/>
                <w:szCs w:val="30"/>
                <w:highlight w:val="none"/>
              </w:rPr>
            </w:pPr>
            <w:r>
              <w:rPr>
                <w:rFonts w:hint="eastAsia" w:ascii="宋体" w:eastAsia="宋体" w:cs="宋体"/>
                <w:color w:val="auto"/>
                <w:sz w:val="24"/>
                <w:szCs w:val="30"/>
                <w:highlight w:val="none"/>
              </w:rPr>
              <w:t>中国民生银行股份有限公司温州分行</w:t>
            </w:r>
          </w:p>
        </w:tc>
        <w:tc>
          <w:tcPr>
            <w:tcW w:w="2628" w:type="dxa"/>
            <w:gridSpan w:val="2"/>
            <w:tcBorders>
              <w:top w:val="single" w:color="auto" w:sz="4" w:space="0"/>
              <w:left w:val="single" w:color="auto" w:sz="4" w:space="0"/>
              <w:right w:val="single" w:color="auto" w:sz="4" w:space="0"/>
            </w:tcBorders>
          </w:tcPr>
          <w:p w14:paraId="329B172C">
            <w:pPr>
              <w:spacing w:line="360" w:lineRule="auto"/>
              <w:jc w:val="left"/>
              <w:rPr>
                <w:rFonts w:hint="eastAsia" w:ascii="宋体" w:eastAsia="宋体" w:cs="宋体"/>
                <w:color w:val="auto"/>
                <w:sz w:val="24"/>
                <w:szCs w:val="30"/>
                <w:highlight w:val="none"/>
              </w:rPr>
            </w:pPr>
          </w:p>
        </w:tc>
      </w:tr>
      <w:tr w14:paraId="3E8D5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tcBorders>
              <w:top w:val="single" w:color="auto" w:sz="4" w:space="0"/>
              <w:left w:val="single" w:color="auto" w:sz="4" w:space="0"/>
              <w:right w:val="single" w:color="auto" w:sz="4" w:space="0"/>
            </w:tcBorders>
            <w:vAlign w:val="center"/>
          </w:tcPr>
          <w:p w14:paraId="110AD04D">
            <w:pPr>
              <w:spacing w:line="360" w:lineRule="auto"/>
              <w:rPr>
                <w:rFonts w:hint="eastAsia" w:ascii="宋体" w:eastAsia="宋体" w:cs="宋体"/>
                <w:color w:val="auto"/>
                <w:sz w:val="24"/>
                <w:szCs w:val="30"/>
                <w:highlight w:val="none"/>
              </w:rPr>
            </w:pPr>
            <w:r>
              <w:rPr>
                <w:rFonts w:hint="eastAsia" w:ascii="宋体" w:eastAsia="宋体" w:cs="宋体"/>
                <w:color w:val="auto"/>
                <w:sz w:val="24"/>
                <w:szCs w:val="30"/>
                <w:highlight w:val="none"/>
              </w:rPr>
              <w:t>宁波银行股份有限公司温州分行</w:t>
            </w:r>
          </w:p>
        </w:tc>
        <w:tc>
          <w:tcPr>
            <w:tcW w:w="2628" w:type="dxa"/>
            <w:gridSpan w:val="2"/>
            <w:tcBorders>
              <w:top w:val="single" w:color="auto" w:sz="4" w:space="0"/>
              <w:left w:val="single" w:color="auto" w:sz="4" w:space="0"/>
              <w:right w:val="single" w:color="auto" w:sz="4" w:space="0"/>
            </w:tcBorders>
          </w:tcPr>
          <w:p w14:paraId="39500A80">
            <w:pPr>
              <w:spacing w:line="360" w:lineRule="auto"/>
              <w:jc w:val="left"/>
              <w:rPr>
                <w:rFonts w:hint="eastAsia" w:ascii="宋体" w:eastAsia="宋体" w:cs="宋体"/>
                <w:color w:val="auto"/>
                <w:sz w:val="24"/>
                <w:szCs w:val="30"/>
                <w:highlight w:val="none"/>
              </w:rPr>
            </w:pPr>
          </w:p>
        </w:tc>
      </w:tr>
      <w:tr w14:paraId="4E28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tcBorders>
              <w:top w:val="single" w:color="auto" w:sz="4" w:space="0"/>
              <w:left w:val="single" w:color="auto" w:sz="4" w:space="0"/>
              <w:right w:val="single" w:color="auto" w:sz="4" w:space="0"/>
            </w:tcBorders>
            <w:vAlign w:val="center"/>
          </w:tcPr>
          <w:p w14:paraId="238F024F">
            <w:pPr>
              <w:spacing w:line="360" w:lineRule="auto"/>
              <w:rPr>
                <w:rFonts w:hint="eastAsia" w:ascii="宋体" w:eastAsia="宋体" w:cs="宋体"/>
                <w:color w:val="auto"/>
                <w:sz w:val="24"/>
                <w:szCs w:val="30"/>
                <w:highlight w:val="none"/>
              </w:rPr>
            </w:pPr>
            <w:r>
              <w:rPr>
                <w:rFonts w:hint="eastAsia" w:ascii="宋体" w:eastAsia="宋体" w:cs="宋体"/>
                <w:color w:val="auto"/>
                <w:sz w:val="24"/>
                <w:szCs w:val="30"/>
                <w:highlight w:val="none"/>
              </w:rPr>
              <w:t>杭州银行股份有限公司温州分行</w:t>
            </w:r>
          </w:p>
        </w:tc>
        <w:tc>
          <w:tcPr>
            <w:tcW w:w="2628" w:type="dxa"/>
            <w:gridSpan w:val="2"/>
            <w:tcBorders>
              <w:top w:val="single" w:color="auto" w:sz="4" w:space="0"/>
              <w:left w:val="single" w:color="auto" w:sz="4" w:space="0"/>
              <w:right w:val="single" w:color="auto" w:sz="4" w:space="0"/>
            </w:tcBorders>
          </w:tcPr>
          <w:p w14:paraId="27AADE14">
            <w:pPr>
              <w:spacing w:line="360" w:lineRule="auto"/>
              <w:jc w:val="left"/>
              <w:rPr>
                <w:rFonts w:hint="eastAsia" w:ascii="宋体" w:eastAsia="宋体" w:cs="宋体"/>
                <w:color w:val="auto"/>
                <w:sz w:val="24"/>
                <w:szCs w:val="30"/>
                <w:highlight w:val="none"/>
              </w:rPr>
            </w:pPr>
          </w:p>
        </w:tc>
      </w:tr>
      <w:tr w14:paraId="50BD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tcBorders>
              <w:top w:val="single" w:color="auto" w:sz="4" w:space="0"/>
              <w:left w:val="single" w:color="auto" w:sz="4" w:space="0"/>
              <w:right w:val="single" w:color="auto" w:sz="4" w:space="0"/>
            </w:tcBorders>
            <w:vAlign w:val="center"/>
          </w:tcPr>
          <w:p w14:paraId="72B11DC1">
            <w:pPr>
              <w:spacing w:line="360" w:lineRule="auto"/>
              <w:rPr>
                <w:rFonts w:hint="eastAsia" w:ascii="宋体" w:eastAsia="宋体" w:cs="宋体"/>
                <w:color w:val="auto"/>
                <w:sz w:val="24"/>
                <w:szCs w:val="30"/>
                <w:highlight w:val="none"/>
              </w:rPr>
            </w:pPr>
            <w:r>
              <w:rPr>
                <w:rFonts w:hint="eastAsia" w:ascii="宋体" w:eastAsia="宋体" w:cs="宋体"/>
                <w:color w:val="auto"/>
                <w:sz w:val="24"/>
                <w:szCs w:val="30"/>
                <w:highlight w:val="none"/>
              </w:rPr>
              <w:t>招商银行股份有限公司温州分行</w:t>
            </w:r>
          </w:p>
        </w:tc>
        <w:tc>
          <w:tcPr>
            <w:tcW w:w="2628" w:type="dxa"/>
            <w:gridSpan w:val="2"/>
            <w:tcBorders>
              <w:top w:val="single" w:color="auto" w:sz="4" w:space="0"/>
              <w:left w:val="single" w:color="auto" w:sz="4" w:space="0"/>
              <w:right w:val="single" w:color="auto" w:sz="4" w:space="0"/>
            </w:tcBorders>
          </w:tcPr>
          <w:p w14:paraId="37B36CCD">
            <w:pPr>
              <w:spacing w:line="360" w:lineRule="auto"/>
              <w:jc w:val="left"/>
              <w:rPr>
                <w:rFonts w:hint="eastAsia" w:ascii="宋体" w:eastAsia="宋体" w:cs="宋体"/>
                <w:color w:val="auto"/>
                <w:sz w:val="24"/>
                <w:szCs w:val="30"/>
                <w:highlight w:val="none"/>
              </w:rPr>
            </w:pPr>
          </w:p>
        </w:tc>
      </w:tr>
      <w:tr w14:paraId="00FE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tcBorders>
              <w:top w:val="single" w:color="auto" w:sz="4" w:space="0"/>
              <w:left w:val="single" w:color="auto" w:sz="4" w:space="0"/>
              <w:right w:val="single" w:color="auto" w:sz="4" w:space="0"/>
            </w:tcBorders>
            <w:vAlign w:val="center"/>
          </w:tcPr>
          <w:p w14:paraId="1B72B049">
            <w:pPr>
              <w:spacing w:line="360" w:lineRule="auto"/>
              <w:rPr>
                <w:rFonts w:hint="eastAsia" w:ascii="宋体" w:eastAsia="宋体" w:cs="宋体"/>
                <w:color w:val="auto"/>
                <w:sz w:val="24"/>
                <w:szCs w:val="30"/>
                <w:highlight w:val="none"/>
              </w:rPr>
            </w:pPr>
            <w:r>
              <w:rPr>
                <w:rFonts w:hint="eastAsia" w:ascii="宋体" w:eastAsia="宋体" w:cs="宋体"/>
                <w:color w:val="auto"/>
                <w:sz w:val="24"/>
                <w:szCs w:val="30"/>
                <w:highlight w:val="none"/>
              </w:rPr>
              <w:t>兴业银行股份有限公司温州分行</w:t>
            </w:r>
          </w:p>
        </w:tc>
        <w:tc>
          <w:tcPr>
            <w:tcW w:w="2628" w:type="dxa"/>
            <w:gridSpan w:val="2"/>
            <w:tcBorders>
              <w:top w:val="single" w:color="auto" w:sz="4" w:space="0"/>
              <w:left w:val="single" w:color="auto" w:sz="4" w:space="0"/>
              <w:right w:val="single" w:color="auto" w:sz="4" w:space="0"/>
            </w:tcBorders>
          </w:tcPr>
          <w:p w14:paraId="3D3B643C">
            <w:pPr>
              <w:spacing w:line="360" w:lineRule="auto"/>
              <w:jc w:val="left"/>
              <w:rPr>
                <w:rFonts w:hint="eastAsia" w:ascii="宋体" w:eastAsia="宋体" w:cs="宋体"/>
                <w:color w:val="auto"/>
                <w:sz w:val="24"/>
                <w:szCs w:val="30"/>
                <w:highlight w:val="none"/>
              </w:rPr>
            </w:pPr>
          </w:p>
        </w:tc>
      </w:tr>
      <w:tr w14:paraId="492B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tcBorders>
              <w:top w:val="single" w:color="auto" w:sz="4" w:space="0"/>
              <w:left w:val="single" w:color="auto" w:sz="4" w:space="0"/>
              <w:right w:val="single" w:color="auto" w:sz="4" w:space="0"/>
            </w:tcBorders>
            <w:vAlign w:val="center"/>
          </w:tcPr>
          <w:p w14:paraId="4BD8A1C2">
            <w:pPr>
              <w:spacing w:line="360" w:lineRule="auto"/>
              <w:rPr>
                <w:rFonts w:hint="eastAsia" w:ascii="宋体" w:eastAsia="宋体" w:cs="宋体"/>
                <w:color w:val="auto"/>
                <w:sz w:val="24"/>
                <w:szCs w:val="30"/>
                <w:highlight w:val="none"/>
              </w:rPr>
            </w:pPr>
            <w:r>
              <w:rPr>
                <w:rFonts w:hint="eastAsia" w:ascii="宋体" w:eastAsia="宋体" w:cs="宋体"/>
                <w:color w:val="auto"/>
                <w:sz w:val="24"/>
                <w:szCs w:val="30"/>
                <w:highlight w:val="none"/>
              </w:rPr>
              <w:t>交通银行股份有限公司温州分行</w:t>
            </w:r>
          </w:p>
        </w:tc>
        <w:tc>
          <w:tcPr>
            <w:tcW w:w="2628" w:type="dxa"/>
            <w:gridSpan w:val="2"/>
            <w:tcBorders>
              <w:top w:val="single" w:color="auto" w:sz="4" w:space="0"/>
              <w:left w:val="single" w:color="auto" w:sz="4" w:space="0"/>
              <w:right w:val="single" w:color="auto" w:sz="4" w:space="0"/>
            </w:tcBorders>
          </w:tcPr>
          <w:p w14:paraId="4695237C">
            <w:pPr>
              <w:spacing w:line="360" w:lineRule="auto"/>
              <w:jc w:val="left"/>
              <w:rPr>
                <w:rFonts w:hint="eastAsia" w:ascii="宋体" w:eastAsia="宋体" w:cs="宋体"/>
                <w:color w:val="auto"/>
                <w:sz w:val="24"/>
                <w:szCs w:val="30"/>
                <w:highlight w:val="none"/>
              </w:rPr>
            </w:pPr>
          </w:p>
        </w:tc>
      </w:tr>
      <w:tr w14:paraId="4601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tcBorders>
              <w:top w:val="single" w:color="auto" w:sz="4" w:space="0"/>
              <w:left w:val="single" w:color="auto" w:sz="4" w:space="0"/>
              <w:right w:val="single" w:color="auto" w:sz="4" w:space="0"/>
            </w:tcBorders>
            <w:vAlign w:val="center"/>
          </w:tcPr>
          <w:p w14:paraId="4A3E873A">
            <w:pPr>
              <w:spacing w:line="360" w:lineRule="auto"/>
              <w:rPr>
                <w:rFonts w:hint="eastAsia" w:ascii="宋体" w:eastAsia="宋体" w:cs="宋体"/>
                <w:color w:val="auto"/>
                <w:sz w:val="24"/>
                <w:szCs w:val="30"/>
                <w:highlight w:val="none"/>
              </w:rPr>
            </w:pPr>
            <w:r>
              <w:rPr>
                <w:rFonts w:hint="eastAsia" w:ascii="宋体" w:eastAsia="宋体" w:cs="宋体"/>
                <w:color w:val="auto"/>
                <w:sz w:val="24"/>
                <w:szCs w:val="30"/>
                <w:highlight w:val="none"/>
              </w:rPr>
              <w:t>上海浦东发展银行股份有限公司温州分行</w:t>
            </w:r>
          </w:p>
        </w:tc>
        <w:tc>
          <w:tcPr>
            <w:tcW w:w="2628" w:type="dxa"/>
            <w:gridSpan w:val="2"/>
            <w:tcBorders>
              <w:top w:val="single" w:color="auto" w:sz="4" w:space="0"/>
              <w:left w:val="single" w:color="auto" w:sz="4" w:space="0"/>
              <w:right w:val="single" w:color="auto" w:sz="4" w:space="0"/>
            </w:tcBorders>
          </w:tcPr>
          <w:p w14:paraId="613F3C9B">
            <w:pPr>
              <w:spacing w:line="360" w:lineRule="auto"/>
              <w:jc w:val="left"/>
              <w:rPr>
                <w:rFonts w:hint="eastAsia" w:ascii="宋体" w:eastAsia="宋体" w:cs="宋体"/>
                <w:color w:val="auto"/>
                <w:sz w:val="24"/>
                <w:szCs w:val="30"/>
                <w:highlight w:val="none"/>
              </w:rPr>
            </w:pPr>
          </w:p>
        </w:tc>
      </w:tr>
    </w:tbl>
    <w:p w14:paraId="4BDBC3A8">
      <w:pPr>
        <w:spacing w:line="276" w:lineRule="auto"/>
        <w:rPr>
          <w:rFonts w:ascii="宋体"/>
          <w:color w:val="auto"/>
          <w:highlight w:val="none"/>
        </w:rPr>
      </w:pPr>
      <w:r>
        <w:rPr>
          <w:rFonts w:hint="eastAsia" w:ascii="宋体"/>
          <w:color w:val="auto"/>
          <w:highlight w:val="none"/>
        </w:rPr>
        <w:t>注：1、本表填写对象为注册地在温州市域内的供应商。</w:t>
      </w:r>
    </w:p>
    <w:p w14:paraId="2CB4C7E1">
      <w:pPr>
        <w:spacing w:line="400" w:lineRule="exact"/>
        <w:ind w:firstLine="413" w:firstLineChars="197"/>
        <w:rPr>
          <w:rFonts w:hint="eastAsia" w:ascii="宋体"/>
          <w:color w:val="auto"/>
          <w:highlight w:val="none"/>
        </w:rPr>
      </w:pPr>
      <w:r>
        <w:rPr>
          <w:rFonts w:hint="eastAsia" w:ascii="宋体"/>
          <w:color w:val="auto"/>
          <w:highlight w:val="none"/>
        </w:rPr>
        <w:t>2、财政部门根据企业自行选择，将本表及企业相关信息推送至相对应的融资意向银行经办人。</w:t>
      </w:r>
    </w:p>
    <w:p w14:paraId="6831C6F0">
      <w:pPr>
        <w:pStyle w:val="36"/>
        <w:jc w:val="both"/>
        <w:outlineLvl w:val="9"/>
        <w:rPr>
          <w:rFonts w:hint="eastAsia" w:ascii="宋体" w:hAnsi="Calibri"/>
          <w:b w:val="0"/>
          <w:bCs w:val="0"/>
          <w:color w:val="auto"/>
          <w:kern w:val="2"/>
          <w:sz w:val="21"/>
          <w:szCs w:val="22"/>
          <w:highlight w:val="none"/>
        </w:rPr>
      </w:pPr>
    </w:p>
    <w:p w14:paraId="346547C0">
      <w:pPr>
        <w:rPr>
          <w:rFonts w:ascii="宋体"/>
          <w:color w:val="auto"/>
          <w:highlight w:val="none"/>
        </w:rPr>
        <w:sectPr>
          <w:headerReference r:id="rId11" w:type="default"/>
          <w:footerReference r:id="rId12" w:type="default"/>
          <w:pgSz w:w="11906" w:h="16838"/>
          <w:pgMar w:top="760" w:right="1080" w:bottom="590" w:left="1080" w:header="510" w:footer="624" w:gutter="0"/>
          <w:pgBorders>
            <w:top w:val="none" w:sz="0" w:space="0"/>
            <w:left w:val="none" w:sz="0" w:space="0"/>
            <w:bottom w:val="none" w:sz="0" w:space="0"/>
            <w:right w:val="none" w:sz="0" w:space="0"/>
          </w:pgBorders>
          <w:cols w:space="720" w:num="1"/>
          <w:docGrid w:type="lines" w:linePitch="312" w:charSpace="0"/>
        </w:sectPr>
      </w:pPr>
    </w:p>
    <w:bookmarkEnd w:id="205"/>
    <w:p w14:paraId="43ECC9AC">
      <w:pPr>
        <w:pStyle w:val="36"/>
        <w:rPr>
          <w:rFonts w:hint="eastAsia" w:ascii="宋体" w:hAnsi="宋体"/>
          <w:color w:val="auto"/>
          <w:kern w:val="2"/>
          <w:sz w:val="36"/>
          <w:szCs w:val="36"/>
          <w:highlight w:val="none"/>
          <w:lang w:val="zh-CN"/>
        </w:rPr>
      </w:pPr>
      <w:r>
        <w:rPr>
          <w:rFonts w:hint="eastAsia" w:ascii="宋体" w:hAnsi="宋体"/>
          <w:color w:val="auto"/>
          <w:kern w:val="2"/>
          <w:sz w:val="36"/>
          <w:szCs w:val="36"/>
          <w:highlight w:val="none"/>
          <w:lang w:val="zh-CN"/>
        </w:rPr>
        <w:t>第五部分 合同条款及格式</w:t>
      </w:r>
    </w:p>
    <w:p w14:paraId="76178514">
      <w:pPr>
        <w:keepNext/>
        <w:keepLines/>
        <w:widowControl w:val="0"/>
        <w:adjustRightInd w:val="0"/>
        <w:snapToGrid w:val="0"/>
        <w:spacing w:line="400" w:lineRule="exact"/>
        <w:jc w:val="center"/>
        <w:outlineLvl w:val="1"/>
        <w:rPr>
          <w:rFonts w:ascii="黑体" w:hAnsi="华文中宋" w:eastAsia="黑体" w:cs="Times New Roman"/>
          <w:b w:val="0"/>
          <w:bCs w:val="0"/>
          <w:kern w:val="2"/>
          <w:sz w:val="28"/>
          <w:szCs w:val="28"/>
          <w:lang w:val="en-US" w:eastAsia="zh-CN" w:bidi="ar-SA"/>
        </w:rPr>
      </w:pPr>
      <w:bookmarkStart w:id="206" w:name="园林绿化工作相关表格【参考】"/>
      <w:bookmarkEnd w:id="206"/>
      <w:bookmarkStart w:id="207" w:name="_Toc499821128"/>
      <w:bookmarkEnd w:id="207"/>
      <w:bookmarkStart w:id="208" w:name="_Toc440637379"/>
      <w:bookmarkEnd w:id="208"/>
    </w:p>
    <w:p w14:paraId="05947D8F">
      <w:pPr>
        <w:spacing w:line="400" w:lineRule="exact"/>
        <w:ind w:firstLine="442" w:firstLineChars="200"/>
        <w:rPr>
          <w:rFonts w:hint="eastAsia" w:eastAsia="宋体"/>
          <w:b/>
          <w:sz w:val="22"/>
          <w:szCs w:val="21"/>
          <w:u w:val="single"/>
          <w:lang w:eastAsia="zh-CN"/>
        </w:rPr>
      </w:pPr>
      <w:r>
        <w:rPr>
          <w:rFonts w:hint="eastAsia"/>
          <w:b/>
          <w:sz w:val="22"/>
          <w:szCs w:val="21"/>
        </w:rPr>
        <w:t>甲方：</w:t>
      </w:r>
      <w:r>
        <w:rPr>
          <w:rFonts w:hint="eastAsia"/>
          <w:b/>
          <w:sz w:val="22"/>
          <w:szCs w:val="21"/>
          <w:u w:val="single"/>
          <w:lang w:eastAsia="zh-CN"/>
        </w:rPr>
        <w:t>温州公用事业发展集团泰顺水务有限公司</w:t>
      </w:r>
    </w:p>
    <w:p w14:paraId="173B5379">
      <w:pPr>
        <w:tabs>
          <w:tab w:val="left" w:pos="1230"/>
        </w:tabs>
        <w:spacing w:line="400" w:lineRule="exact"/>
        <w:ind w:firstLine="442" w:firstLineChars="200"/>
        <w:rPr>
          <w:rFonts w:hint="eastAsia" w:ascii="宋体" w:hAnsi="宋体" w:cs="宋体"/>
          <w:b/>
          <w:sz w:val="22"/>
          <w:u w:val="single"/>
        </w:rPr>
      </w:pPr>
      <w:r>
        <w:rPr>
          <w:rFonts w:hint="eastAsia" w:ascii="宋体" w:hAnsi="宋体" w:cs="宋体"/>
          <w:b/>
          <w:sz w:val="22"/>
        </w:rPr>
        <w:t>乙方：</w:t>
      </w:r>
      <w:r>
        <w:rPr>
          <w:rFonts w:hint="eastAsia" w:ascii="宋体" w:hAnsi="宋体" w:cs="宋体"/>
          <w:b/>
          <w:sz w:val="22"/>
          <w:u w:val="single"/>
        </w:rPr>
        <w:t>中标供应商</w:t>
      </w:r>
    </w:p>
    <w:p w14:paraId="7F179AA5">
      <w:pPr>
        <w:pStyle w:val="15"/>
      </w:pPr>
      <w:r>
        <w:rPr>
          <w:rFonts w:hint="eastAsia" w:ascii="宋体" w:hAnsi="宋体" w:eastAsia="宋体" w:cs="宋体"/>
          <w:b/>
          <w:sz w:val="22"/>
          <w:lang w:val="en-US" w:eastAsia="zh-CN"/>
        </w:rPr>
        <w:t>丙方：</w:t>
      </w:r>
      <w:r>
        <w:rPr>
          <w:rFonts w:hint="eastAsia" w:ascii="宋体" w:hAnsi="宋体" w:cs="宋体"/>
          <w:b/>
          <w:sz w:val="22"/>
          <w:u w:val="single"/>
          <w:lang w:val="en-US" w:eastAsia="zh-CN"/>
        </w:rPr>
        <w:t>泰顺县龟湖新农村建设投资有限公司</w:t>
      </w:r>
    </w:p>
    <w:p w14:paraId="1CB376DF">
      <w:pPr>
        <w:snapToGrid w:val="0"/>
        <w:spacing w:line="400" w:lineRule="atLeast"/>
        <w:ind w:firstLine="570"/>
        <w:rPr>
          <w:rFonts w:ascii="宋体" w:hAnsi="宋体" w:cs="宋体"/>
          <w:b/>
          <w:bCs/>
          <w:sz w:val="22"/>
        </w:rPr>
      </w:pPr>
      <w:r>
        <w:rPr>
          <w:rFonts w:hint="eastAsia" w:ascii="宋体" w:hAnsi="宋体" w:cs="宋体"/>
          <w:sz w:val="22"/>
          <w:lang w:val="en-US" w:eastAsia="zh-CN"/>
        </w:rPr>
        <w:t>三</w:t>
      </w:r>
      <w:r>
        <w:rPr>
          <w:rFonts w:hint="eastAsia" w:ascii="宋体" w:hAnsi="宋体" w:cs="宋体"/>
          <w:sz w:val="22"/>
        </w:rPr>
        <w:t>方经协商，就乙方向甲方提供本公司产品以及相关产品的伴随服务事宜达成以下条款：</w:t>
      </w:r>
    </w:p>
    <w:p w14:paraId="7F9CC19E">
      <w:pPr>
        <w:snapToGrid w:val="0"/>
        <w:spacing w:line="400" w:lineRule="atLeast"/>
        <w:rPr>
          <w:rFonts w:ascii="宋体" w:hAnsi="宋体" w:cs="宋体"/>
          <w:b/>
          <w:bCs/>
          <w:sz w:val="22"/>
        </w:rPr>
      </w:pPr>
      <w:r>
        <w:rPr>
          <w:rFonts w:hint="eastAsia" w:ascii="宋体" w:hAnsi="宋体" w:cs="宋体"/>
          <w:sz w:val="22"/>
        </w:rPr>
        <w:t>第一条：合同清单及合同价格</w:t>
      </w:r>
    </w:p>
    <w:p w14:paraId="5B20F7CE">
      <w:pPr>
        <w:snapToGrid w:val="0"/>
        <w:spacing w:line="400" w:lineRule="atLeast"/>
        <w:ind w:firstLine="540"/>
        <w:rPr>
          <w:rFonts w:ascii="宋体" w:hAnsi="宋体" w:cs="宋体"/>
          <w:sz w:val="22"/>
        </w:rPr>
      </w:pPr>
      <w:r>
        <w:rPr>
          <w:rFonts w:hint="eastAsia" w:ascii="宋体" w:hAnsi="宋体" w:cs="宋体"/>
          <w:sz w:val="22"/>
        </w:rPr>
        <w:t>乙方保证提供如下内容：        金额单位：人民币元</w:t>
      </w: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267"/>
        <w:gridCol w:w="2713"/>
        <w:gridCol w:w="1128"/>
        <w:gridCol w:w="1129"/>
        <w:gridCol w:w="1129"/>
        <w:gridCol w:w="1129"/>
      </w:tblGrid>
      <w:tr w14:paraId="6968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5" w:hRule="atLeast"/>
        </w:trPr>
        <w:tc>
          <w:tcPr>
            <w:tcW w:w="2267" w:type="dxa"/>
            <w:noWrap w:val="0"/>
            <w:vAlign w:val="center"/>
          </w:tcPr>
          <w:p w14:paraId="65D3D775">
            <w:pPr>
              <w:snapToGrid w:val="0"/>
              <w:spacing w:line="400" w:lineRule="atLeast"/>
              <w:ind w:firstLine="240"/>
              <w:jc w:val="center"/>
              <w:rPr>
                <w:rFonts w:ascii="宋体" w:hAnsi="宋体" w:cs="宋体"/>
                <w:sz w:val="22"/>
              </w:rPr>
            </w:pPr>
            <w:r>
              <w:rPr>
                <w:rFonts w:hint="eastAsia" w:ascii="宋体" w:hAnsi="宋体" w:cs="宋体"/>
                <w:sz w:val="22"/>
              </w:rPr>
              <w:t>名称</w:t>
            </w:r>
          </w:p>
        </w:tc>
        <w:tc>
          <w:tcPr>
            <w:tcW w:w="2713" w:type="dxa"/>
            <w:noWrap w:val="0"/>
            <w:vAlign w:val="center"/>
          </w:tcPr>
          <w:p w14:paraId="620596FB">
            <w:pPr>
              <w:snapToGrid w:val="0"/>
              <w:spacing w:line="400" w:lineRule="atLeast"/>
              <w:jc w:val="center"/>
              <w:rPr>
                <w:rFonts w:ascii="宋体" w:hAnsi="宋体" w:cs="宋体"/>
                <w:sz w:val="22"/>
              </w:rPr>
            </w:pPr>
            <w:r>
              <w:rPr>
                <w:rFonts w:hint="eastAsia" w:ascii="宋体" w:hAnsi="宋体" w:cs="宋体"/>
                <w:sz w:val="22"/>
              </w:rPr>
              <w:t>规格和主要配置</w:t>
            </w:r>
          </w:p>
        </w:tc>
        <w:tc>
          <w:tcPr>
            <w:tcW w:w="1128" w:type="dxa"/>
            <w:noWrap w:val="0"/>
            <w:vAlign w:val="center"/>
          </w:tcPr>
          <w:p w14:paraId="3E15D09A">
            <w:pPr>
              <w:snapToGrid w:val="0"/>
              <w:spacing w:line="400" w:lineRule="atLeast"/>
              <w:jc w:val="center"/>
              <w:rPr>
                <w:rFonts w:ascii="宋体" w:hAnsi="宋体" w:cs="宋体"/>
                <w:sz w:val="22"/>
              </w:rPr>
            </w:pPr>
            <w:r>
              <w:rPr>
                <w:rFonts w:hint="eastAsia" w:ascii="宋体" w:hAnsi="宋体" w:cs="宋体"/>
                <w:sz w:val="22"/>
              </w:rPr>
              <w:t>数量</w:t>
            </w:r>
          </w:p>
        </w:tc>
        <w:tc>
          <w:tcPr>
            <w:tcW w:w="1129" w:type="dxa"/>
            <w:noWrap w:val="0"/>
            <w:vAlign w:val="center"/>
          </w:tcPr>
          <w:p w14:paraId="6D74C2D0">
            <w:pPr>
              <w:snapToGrid w:val="0"/>
              <w:spacing w:line="400" w:lineRule="atLeast"/>
              <w:jc w:val="center"/>
              <w:rPr>
                <w:rFonts w:ascii="宋体" w:hAnsi="宋体" w:cs="宋体"/>
                <w:sz w:val="22"/>
              </w:rPr>
            </w:pPr>
            <w:r>
              <w:rPr>
                <w:rFonts w:hint="eastAsia" w:ascii="宋体" w:hAnsi="宋体" w:cs="宋体"/>
                <w:sz w:val="22"/>
              </w:rPr>
              <w:t>单价</w:t>
            </w:r>
          </w:p>
        </w:tc>
        <w:tc>
          <w:tcPr>
            <w:tcW w:w="1129" w:type="dxa"/>
            <w:noWrap w:val="0"/>
            <w:vAlign w:val="center"/>
          </w:tcPr>
          <w:p w14:paraId="69305141">
            <w:pPr>
              <w:snapToGrid w:val="0"/>
              <w:spacing w:line="400" w:lineRule="atLeast"/>
              <w:jc w:val="center"/>
              <w:rPr>
                <w:rFonts w:ascii="宋体" w:hAnsi="宋体" w:cs="宋体"/>
                <w:sz w:val="22"/>
              </w:rPr>
            </w:pPr>
            <w:r>
              <w:rPr>
                <w:rFonts w:hint="eastAsia" w:ascii="宋体" w:hAnsi="宋体" w:cs="宋体"/>
                <w:sz w:val="22"/>
              </w:rPr>
              <w:t>总价</w:t>
            </w:r>
          </w:p>
        </w:tc>
        <w:tc>
          <w:tcPr>
            <w:tcW w:w="1129" w:type="dxa"/>
            <w:noWrap w:val="0"/>
            <w:vAlign w:val="center"/>
          </w:tcPr>
          <w:p w14:paraId="6736E4D3">
            <w:pPr>
              <w:snapToGrid w:val="0"/>
              <w:spacing w:line="400" w:lineRule="atLeast"/>
              <w:jc w:val="center"/>
              <w:rPr>
                <w:rFonts w:ascii="宋体" w:hAnsi="宋体" w:cs="宋体"/>
                <w:sz w:val="22"/>
              </w:rPr>
            </w:pPr>
            <w:r>
              <w:rPr>
                <w:rFonts w:hint="eastAsia" w:ascii="宋体" w:hAnsi="宋体" w:cs="宋体"/>
                <w:sz w:val="22"/>
              </w:rPr>
              <w:t>备注</w:t>
            </w:r>
          </w:p>
        </w:tc>
      </w:tr>
      <w:tr w14:paraId="781A9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37" w:hRule="atLeast"/>
        </w:trPr>
        <w:tc>
          <w:tcPr>
            <w:tcW w:w="2267" w:type="dxa"/>
            <w:noWrap w:val="0"/>
            <w:vAlign w:val="center"/>
          </w:tcPr>
          <w:p w14:paraId="4B957957">
            <w:pPr>
              <w:snapToGrid w:val="0"/>
              <w:spacing w:line="400" w:lineRule="atLeast"/>
              <w:jc w:val="center"/>
              <w:rPr>
                <w:rFonts w:ascii="宋体" w:hAnsi="宋体" w:cs="宋体"/>
                <w:sz w:val="22"/>
              </w:rPr>
            </w:pPr>
          </w:p>
        </w:tc>
        <w:tc>
          <w:tcPr>
            <w:tcW w:w="2713" w:type="dxa"/>
            <w:noWrap w:val="0"/>
            <w:vAlign w:val="center"/>
          </w:tcPr>
          <w:p w14:paraId="090705F2">
            <w:pPr>
              <w:snapToGrid w:val="0"/>
              <w:spacing w:line="400" w:lineRule="atLeast"/>
              <w:jc w:val="center"/>
              <w:rPr>
                <w:rFonts w:ascii="宋体" w:hAnsi="宋体" w:cs="宋体"/>
                <w:sz w:val="22"/>
              </w:rPr>
            </w:pPr>
          </w:p>
        </w:tc>
        <w:tc>
          <w:tcPr>
            <w:tcW w:w="1128" w:type="dxa"/>
            <w:noWrap w:val="0"/>
            <w:vAlign w:val="center"/>
          </w:tcPr>
          <w:p w14:paraId="596DBFA1">
            <w:pPr>
              <w:snapToGrid w:val="0"/>
              <w:spacing w:line="400" w:lineRule="atLeast"/>
              <w:jc w:val="center"/>
              <w:rPr>
                <w:rFonts w:ascii="宋体" w:hAnsi="宋体" w:cs="宋体"/>
                <w:sz w:val="22"/>
              </w:rPr>
            </w:pPr>
          </w:p>
        </w:tc>
        <w:tc>
          <w:tcPr>
            <w:tcW w:w="1129" w:type="dxa"/>
            <w:noWrap w:val="0"/>
            <w:vAlign w:val="center"/>
          </w:tcPr>
          <w:p w14:paraId="50BDCF1F">
            <w:pPr>
              <w:snapToGrid w:val="0"/>
              <w:spacing w:line="400" w:lineRule="atLeast"/>
              <w:jc w:val="center"/>
              <w:rPr>
                <w:rFonts w:ascii="宋体" w:hAnsi="宋体" w:cs="宋体"/>
                <w:sz w:val="22"/>
              </w:rPr>
            </w:pPr>
          </w:p>
        </w:tc>
        <w:tc>
          <w:tcPr>
            <w:tcW w:w="1129" w:type="dxa"/>
            <w:noWrap w:val="0"/>
            <w:vAlign w:val="center"/>
          </w:tcPr>
          <w:p w14:paraId="3D9423CB">
            <w:pPr>
              <w:snapToGrid w:val="0"/>
              <w:spacing w:line="400" w:lineRule="atLeast"/>
              <w:jc w:val="center"/>
              <w:rPr>
                <w:rFonts w:ascii="宋体" w:hAnsi="宋体" w:cs="宋体"/>
                <w:sz w:val="22"/>
              </w:rPr>
            </w:pPr>
          </w:p>
        </w:tc>
        <w:tc>
          <w:tcPr>
            <w:tcW w:w="1129" w:type="dxa"/>
            <w:noWrap w:val="0"/>
            <w:vAlign w:val="center"/>
          </w:tcPr>
          <w:p w14:paraId="1B383B8D">
            <w:pPr>
              <w:snapToGrid w:val="0"/>
              <w:spacing w:line="400" w:lineRule="atLeast"/>
              <w:jc w:val="center"/>
              <w:rPr>
                <w:rFonts w:ascii="宋体" w:hAnsi="宋体" w:cs="宋体"/>
                <w:sz w:val="22"/>
              </w:rPr>
            </w:pPr>
          </w:p>
        </w:tc>
      </w:tr>
      <w:tr w14:paraId="2E01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30" w:hRule="atLeast"/>
        </w:trPr>
        <w:tc>
          <w:tcPr>
            <w:tcW w:w="2267" w:type="dxa"/>
            <w:noWrap w:val="0"/>
            <w:vAlign w:val="center"/>
          </w:tcPr>
          <w:p w14:paraId="06FDCA13">
            <w:pPr>
              <w:snapToGrid w:val="0"/>
              <w:spacing w:line="400" w:lineRule="atLeast"/>
              <w:jc w:val="center"/>
              <w:rPr>
                <w:rFonts w:ascii="宋体" w:hAnsi="宋体" w:cs="宋体"/>
                <w:sz w:val="22"/>
              </w:rPr>
            </w:pPr>
          </w:p>
        </w:tc>
        <w:tc>
          <w:tcPr>
            <w:tcW w:w="2713" w:type="dxa"/>
            <w:noWrap w:val="0"/>
            <w:vAlign w:val="center"/>
          </w:tcPr>
          <w:p w14:paraId="465BB3AD">
            <w:pPr>
              <w:snapToGrid w:val="0"/>
              <w:spacing w:line="400" w:lineRule="atLeast"/>
              <w:jc w:val="center"/>
              <w:rPr>
                <w:rFonts w:ascii="宋体" w:hAnsi="宋体" w:cs="宋体"/>
                <w:sz w:val="22"/>
              </w:rPr>
            </w:pPr>
          </w:p>
        </w:tc>
        <w:tc>
          <w:tcPr>
            <w:tcW w:w="1128" w:type="dxa"/>
            <w:noWrap w:val="0"/>
            <w:vAlign w:val="center"/>
          </w:tcPr>
          <w:p w14:paraId="75665000">
            <w:pPr>
              <w:snapToGrid w:val="0"/>
              <w:spacing w:line="400" w:lineRule="atLeast"/>
              <w:jc w:val="center"/>
              <w:rPr>
                <w:rFonts w:ascii="宋体" w:hAnsi="宋体" w:cs="宋体"/>
                <w:sz w:val="22"/>
              </w:rPr>
            </w:pPr>
          </w:p>
        </w:tc>
        <w:tc>
          <w:tcPr>
            <w:tcW w:w="1129" w:type="dxa"/>
            <w:noWrap w:val="0"/>
            <w:vAlign w:val="center"/>
          </w:tcPr>
          <w:p w14:paraId="696E0E53">
            <w:pPr>
              <w:snapToGrid w:val="0"/>
              <w:spacing w:line="400" w:lineRule="atLeast"/>
              <w:jc w:val="center"/>
              <w:rPr>
                <w:rFonts w:ascii="宋体" w:hAnsi="宋体" w:cs="宋体"/>
                <w:sz w:val="22"/>
              </w:rPr>
            </w:pPr>
          </w:p>
        </w:tc>
        <w:tc>
          <w:tcPr>
            <w:tcW w:w="1129" w:type="dxa"/>
            <w:noWrap w:val="0"/>
            <w:vAlign w:val="center"/>
          </w:tcPr>
          <w:p w14:paraId="72E41164">
            <w:pPr>
              <w:snapToGrid w:val="0"/>
              <w:spacing w:line="400" w:lineRule="atLeast"/>
              <w:jc w:val="center"/>
              <w:rPr>
                <w:rFonts w:ascii="宋体" w:hAnsi="宋体" w:cs="宋体"/>
                <w:sz w:val="22"/>
              </w:rPr>
            </w:pPr>
          </w:p>
        </w:tc>
        <w:tc>
          <w:tcPr>
            <w:tcW w:w="1129" w:type="dxa"/>
            <w:noWrap w:val="0"/>
            <w:vAlign w:val="center"/>
          </w:tcPr>
          <w:p w14:paraId="0A0E1F37">
            <w:pPr>
              <w:snapToGrid w:val="0"/>
              <w:spacing w:line="400" w:lineRule="atLeast"/>
              <w:jc w:val="center"/>
              <w:rPr>
                <w:rFonts w:ascii="宋体" w:hAnsi="宋体" w:cs="宋体"/>
                <w:sz w:val="22"/>
              </w:rPr>
            </w:pPr>
          </w:p>
        </w:tc>
      </w:tr>
      <w:tr w14:paraId="3603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464" w:hRule="atLeast"/>
        </w:trPr>
        <w:tc>
          <w:tcPr>
            <w:tcW w:w="2267" w:type="dxa"/>
            <w:noWrap w:val="0"/>
            <w:vAlign w:val="center"/>
          </w:tcPr>
          <w:p w14:paraId="7F289402">
            <w:pPr>
              <w:snapToGrid w:val="0"/>
              <w:spacing w:line="400" w:lineRule="atLeast"/>
              <w:jc w:val="center"/>
              <w:rPr>
                <w:rFonts w:ascii="宋体" w:hAnsi="宋体" w:cs="宋体"/>
                <w:sz w:val="22"/>
              </w:rPr>
            </w:pPr>
          </w:p>
        </w:tc>
        <w:tc>
          <w:tcPr>
            <w:tcW w:w="2713" w:type="dxa"/>
            <w:noWrap w:val="0"/>
            <w:vAlign w:val="center"/>
          </w:tcPr>
          <w:p w14:paraId="1FF09F29">
            <w:pPr>
              <w:snapToGrid w:val="0"/>
              <w:spacing w:line="400" w:lineRule="atLeast"/>
              <w:jc w:val="center"/>
              <w:rPr>
                <w:rFonts w:ascii="宋体" w:hAnsi="宋体" w:cs="宋体"/>
                <w:sz w:val="22"/>
              </w:rPr>
            </w:pPr>
          </w:p>
        </w:tc>
        <w:tc>
          <w:tcPr>
            <w:tcW w:w="1128" w:type="dxa"/>
            <w:noWrap w:val="0"/>
            <w:vAlign w:val="center"/>
          </w:tcPr>
          <w:p w14:paraId="0C53BCC6">
            <w:pPr>
              <w:snapToGrid w:val="0"/>
              <w:spacing w:line="400" w:lineRule="atLeast"/>
              <w:jc w:val="center"/>
              <w:rPr>
                <w:rFonts w:ascii="宋体" w:hAnsi="宋体" w:cs="宋体"/>
                <w:sz w:val="22"/>
              </w:rPr>
            </w:pPr>
          </w:p>
        </w:tc>
        <w:tc>
          <w:tcPr>
            <w:tcW w:w="1129" w:type="dxa"/>
            <w:noWrap w:val="0"/>
            <w:vAlign w:val="center"/>
          </w:tcPr>
          <w:p w14:paraId="56D6FBBE">
            <w:pPr>
              <w:snapToGrid w:val="0"/>
              <w:spacing w:line="400" w:lineRule="atLeast"/>
              <w:jc w:val="center"/>
              <w:rPr>
                <w:rFonts w:ascii="宋体" w:hAnsi="宋体" w:cs="宋体"/>
                <w:sz w:val="22"/>
              </w:rPr>
            </w:pPr>
          </w:p>
        </w:tc>
        <w:tc>
          <w:tcPr>
            <w:tcW w:w="1129" w:type="dxa"/>
            <w:noWrap w:val="0"/>
            <w:vAlign w:val="center"/>
          </w:tcPr>
          <w:p w14:paraId="33B2F0CE">
            <w:pPr>
              <w:snapToGrid w:val="0"/>
              <w:spacing w:line="400" w:lineRule="atLeast"/>
              <w:jc w:val="center"/>
              <w:rPr>
                <w:rFonts w:ascii="宋体" w:hAnsi="宋体" w:cs="宋体"/>
                <w:sz w:val="22"/>
              </w:rPr>
            </w:pPr>
          </w:p>
        </w:tc>
        <w:tc>
          <w:tcPr>
            <w:tcW w:w="1129" w:type="dxa"/>
            <w:noWrap w:val="0"/>
            <w:vAlign w:val="center"/>
          </w:tcPr>
          <w:p w14:paraId="03AB0171">
            <w:pPr>
              <w:snapToGrid w:val="0"/>
              <w:spacing w:line="400" w:lineRule="atLeast"/>
              <w:jc w:val="center"/>
              <w:rPr>
                <w:rFonts w:ascii="宋体" w:hAnsi="宋体" w:cs="宋体"/>
                <w:sz w:val="22"/>
              </w:rPr>
            </w:pPr>
          </w:p>
        </w:tc>
      </w:tr>
      <w:tr w14:paraId="1A02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464" w:hRule="atLeast"/>
        </w:trPr>
        <w:tc>
          <w:tcPr>
            <w:tcW w:w="2267" w:type="dxa"/>
            <w:noWrap w:val="0"/>
            <w:vAlign w:val="center"/>
          </w:tcPr>
          <w:p w14:paraId="769DA9DA">
            <w:pPr>
              <w:snapToGrid w:val="0"/>
              <w:spacing w:line="400" w:lineRule="atLeast"/>
              <w:jc w:val="center"/>
              <w:rPr>
                <w:rFonts w:ascii="宋体" w:hAnsi="宋体" w:cs="宋体"/>
                <w:sz w:val="22"/>
              </w:rPr>
            </w:pPr>
            <w:r>
              <w:rPr>
                <w:rFonts w:hint="eastAsia" w:ascii="宋体" w:hAnsi="宋体" w:cs="宋体"/>
                <w:sz w:val="22"/>
              </w:rPr>
              <w:t>合计</w:t>
            </w:r>
          </w:p>
        </w:tc>
        <w:tc>
          <w:tcPr>
            <w:tcW w:w="6099" w:type="dxa"/>
            <w:gridSpan w:val="4"/>
            <w:noWrap w:val="0"/>
            <w:vAlign w:val="center"/>
          </w:tcPr>
          <w:p w14:paraId="69114E31">
            <w:pPr>
              <w:snapToGrid w:val="0"/>
              <w:spacing w:line="400" w:lineRule="atLeast"/>
              <w:jc w:val="center"/>
              <w:rPr>
                <w:rFonts w:ascii="宋体" w:hAnsi="宋体" w:cs="宋体"/>
                <w:sz w:val="22"/>
              </w:rPr>
            </w:pPr>
          </w:p>
        </w:tc>
        <w:tc>
          <w:tcPr>
            <w:tcW w:w="1129" w:type="dxa"/>
            <w:noWrap w:val="0"/>
            <w:vAlign w:val="center"/>
          </w:tcPr>
          <w:p w14:paraId="519F7E19">
            <w:pPr>
              <w:snapToGrid w:val="0"/>
              <w:spacing w:line="400" w:lineRule="atLeast"/>
              <w:jc w:val="center"/>
              <w:rPr>
                <w:rFonts w:ascii="宋体" w:hAnsi="宋体" w:cs="宋体"/>
                <w:sz w:val="22"/>
              </w:rPr>
            </w:pPr>
          </w:p>
        </w:tc>
      </w:tr>
    </w:tbl>
    <w:p w14:paraId="2C23B482">
      <w:pPr>
        <w:snapToGrid w:val="0"/>
        <w:spacing w:line="400" w:lineRule="atLeast"/>
        <w:rPr>
          <w:rFonts w:ascii="宋体" w:hAnsi="宋体" w:cs="宋体"/>
          <w:b/>
          <w:bCs/>
          <w:sz w:val="22"/>
        </w:rPr>
      </w:pPr>
      <w:r>
        <w:rPr>
          <w:rFonts w:hint="eastAsia" w:ascii="宋体" w:hAnsi="宋体" w:cs="宋体"/>
          <w:sz w:val="22"/>
        </w:rPr>
        <w:t>第二条：质量标准和要求</w:t>
      </w:r>
    </w:p>
    <w:p w14:paraId="7C652007">
      <w:pPr>
        <w:snapToGrid w:val="0"/>
        <w:spacing w:line="400" w:lineRule="atLeast"/>
        <w:ind w:firstLine="420"/>
        <w:rPr>
          <w:rFonts w:ascii="宋体" w:hAnsi="宋体" w:cs="宋体"/>
          <w:sz w:val="22"/>
        </w:rPr>
      </w:pPr>
      <w:r>
        <w:rPr>
          <w:rFonts w:hint="eastAsia" w:ascii="宋体" w:hAnsi="宋体" w:cs="宋体"/>
          <w:sz w:val="22"/>
        </w:rPr>
        <w:t>1. 乙方保证本合同中所供应的货物质量标准按照国家标准、行业标准或制造厂家企业标准确定，上述标准不一致的，以严格的标准为准。没有国家标准、行业标准和企业标准的，按照通常标准或者符合本合同目的的特定标准确定。</w:t>
      </w:r>
    </w:p>
    <w:p w14:paraId="36DD6A66">
      <w:pPr>
        <w:snapToGrid w:val="0"/>
        <w:spacing w:line="400" w:lineRule="atLeast"/>
        <w:ind w:firstLine="420"/>
        <w:rPr>
          <w:rFonts w:ascii="宋体" w:hAnsi="宋体" w:cs="宋体"/>
          <w:sz w:val="22"/>
        </w:rPr>
      </w:pPr>
      <w:r>
        <w:rPr>
          <w:rFonts w:hint="eastAsia" w:ascii="宋体" w:hAnsi="宋体" w:cs="宋体"/>
          <w:sz w:val="22"/>
        </w:rPr>
        <w:t>2.  乙方所出售的货物还应符合国家和浙江省有关安全、环保、卫生之规定。</w:t>
      </w:r>
    </w:p>
    <w:p w14:paraId="09DD5119">
      <w:pPr>
        <w:snapToGrid w:val="0"/>
        <w:spacing w:line="400" w:lineRule="atLeast"/>
        <w:rPr>
          <w:rFonts w:ascii="宋体" w:hAnsi="宋体" w:cs="宋体"/>
          <w:sz w:val="22"/>
        </w:rPr>
      </w:pPr>
      <w:r>
        <w:rPr>
          <w:rFonts w:hint="eastAsia" w:ascii="宋体" w:hAnsi="宋体" w:cs="宋体"/>
          <w:sz w:val="22"/>
        </w:rPr>
        <w:t>第三条：权利瑕疵担保</w:t>
      </w:r>
    </w:p>
    <w:p w14:paraId="286EBA97">
      <w:pPr>
        <w:snapToGrid w:val="0"/>
        <w:spacing w:line="400" w:lineRule="atLeast"/>
        <w:ind w:firstLine="420"/>
        <w:rPr>
          <w:rFonts w:ascii="宋体" w:hAnsi="宋体" w:cs="宋体"/>
          <w:sz w:val="22"/>
        </w:rPr>
      </w:pPr>
      <w:r>
        <w:rPr>
          <w:rFonts w:hint="eastAsia" w:ascii="宋体" w:hAnsi="宋体" w:cs="宋体"/>
          <w:sz w:val="22"/>
        </w:rPr>
        <w:t>1. 乙方保证对其出售的货物享有合法的权利。</w:t>
      </w:r>
    </w:p>
    <w:p w14:paraId="442ECA26">
      <w:pPr>
        <w:snapToGrid w:val="0"/>
        <w:spacing w:line="400" w:lineRule="atLeast"/>
        <w:ind w:firstLine="420"/>
        <w:rPr>
          <w:rFonts w:ascii="宋体" w:hAnsi="宋体" w:cs="宋体"/>
          <w:sz w:val="22"/>
        </w:rPr>
      </w:pPr>
      <w:r>
        <w:rPr>
          <w:rFonts w:hint="eastAsia" w:ascii="宋体" w:hAnsi="宋体" w:cs="宋体"/>
          <w:sz w:val="22"/>
        </w:rPr>
        <w:t>2. 乙方保证在其出售的货物上不存在任何未曾向甲方透露的担保物权，如抵押权、质押权、留置权等。</w:t>
      </w:r>
    </w:p>
    <w:p w14:paraId="3420F8C4">
      <w:pPr>
        <w:snapToGrid w:val="0"/>
        <w:spacing w:line="400" w:lineRule="atLeast"/>
        <w:ind w:firstLine="420"/>
        <w:rPr>
          <w:rFonts w:ascii="宋体" w:hAnsi="宋体" w:cs="宋体"/>
          <w:sz w:val="22"/>
        </w:rPr>
      </w:pPr>
      <w:r>
        <w:rPr>
          <w:rFonts w:hint="eastAsia" w:ascii="宋体" w:hAnsi="宋体" w:cs="宋体"/>
          <w:sz w:val="22"/>
        </w:rPr>
        <w:t>3. 乙方保证其所出售的货物没有侵犯任何第三人的知识产权和商业秘密等权利。</w:t>
      </w:r>
    </w:p>
    <w:p w14:paraId="15F1A548">
      <w:pPr>
        <w:snapToGrid w:val="0"/>
        <w:spacing w:line="400" w:lineRule="atLeast"/>
        <w:ind w:firstLine="420"/>
        <w:rPr>
          <w:rFonts w:ascii="宋体" w:hAnsi="宋体" w:cs="宋体"/>
          <w:sz w:val="22"/>
        </w:rPr>
      </w:pPr>
      <w:r>
        <w:rPr>
          <w:rFonts w:hint="eastAsia" w:ascii="宋体" w:hAnsi="宋体" w:cs="宋体"/>
          <w:sz w:val="22"/>
        </w:rPr>
        <w:t>4. 如甲方使用该货物构成上述侵权的，则由乙方承担全部责任。</w:t>
      </w:r>
    </w:p>
    <w:p w14:paraId="46B9EC41">
      <w:pPr>
        <w:snapToGrid w:val="0"/>
        <w:spacing w:line="400" w:lineRule="atLeast"/>
        <w:rPr>
          <w:rFonts w:ascii="宋体" w:hAnsi="宋体" w:cs="宋体"/>
          <w:sz w:val="22"/>
        </w:rPr>
      </w:pPr>
      <w:r>
        <w:rPr>
          <w:rFonts w:hint="eastAsia" w:ascii="宋体" w:hAnsi="宋体" w:cs="宋体"/>
          <w:sz w:val="22"/>
        </w:rPr>
        <w:t>第四条：包装要求</w:t>
      </w:r>
    </w:p>
    <w:p w14:paraId="4DA826FC">
      <w:pPr>
        <w:snapToGrid w:val="0"/>
        <w:spacing w:line="400" w:lineRule="atLeast"/>
        <w:rPr>
          <w:rFonts w:ascii="宋体" w:hAnsi="宋体" w:cs="宋体"/>
          <w:sz w:val="22"/>
        </w:rPr>
      </w:pPr>
      <w:r>
        <w:rPr>
          <w:rFonts w:hint="eastAsia" w:ascii="宋体" w:hAnsi="宋体" w:cs="宋体"/>
          <w:sz w:val="22"/>
        </w:rPr>
        <w:t xml:space="preserve">    1. 乙方所出售的全部货物均应按标准保护措施进行包装，这类包装应适应于远距离运输、防潮、防震、防锈和防野蛮装卸等要求，以确保货物安全无损地运抵指定现场。</w:t>
      </w:r>
    </w:p>
    <w:p w14:paraId="61BB5CBB">
      <w:pPr>
        <w:snapToGrid w:val="0"/>
        <w:spacing w:line="400" w:lineRule="atLeast"/>
        <w:ind w:firstLine="360"/>
        <w:rPr>
          <w:rFonts w:ascii="宋体" w:hAnsi="宋体" w:cs="宋体"/>
          <w:b/>
          <w:bCs/>
          <w:sz w:val="22"/>
        </w:rPr>
      </w:pPr>
      <w:r>
        <w:rPr>
          <w:rFonts w:hint="eastAsia" w:ascii="宋体" w:hAnsi="宋体" w:cs="宋体"/>
          <w:sz w:val="22"/>
        </w:rPr>
        <w:t xml:space="preserve"> 2. 每一个包装箱内应附一份详细装箱单、质量证书和保修保养证书。</w:t>
      </w:r>
    </w:p>
    <w:p w14:paraId="702519F5">
      <w:pPr>
        <w:snapToGrid w:val="0"/>
        <w:spacing w:line="400" w:lineRule="atLeast"/>
        <w:ind w:left="440" w:hanging="440" w:hangingChars="200"/>
        <w:rPr>
          <w:rFonts w:ascii="宋体" w:hAnsi="宋体" w:cs="宋体"/>
          <w:sz w:val="22"/>
        </w:rPr>
      </w:pPr>
      <w:r>
        <w:rPr>
          <w:rFonts w:hint="eastAsia" w:ascii="宋体" w:hAnsi="宋体" w:cs="宋体"/>
          <w:sz w:val="22"/>
        </w:rPr>
        <w:t>第五条：完工期</w:t>
      </w:r>
      <w:r>
        <w:rPr>
          <w:rFonts w:hint="eastAsia" w:ascii="宋体" w:hAnsi="宋体" w:cs="宋体"/>
          <w:sz w:val="22"/>
        </w:rPr>
        <w:br w:type="textWrapping"/>
      </w:r>
      <w:r>
        <w:rPr>
          <w:rFonts w:hint="eastAsia" w:ascii="宋体" w:hAnsi="宋体" w:eastAsia="宋体" w:cs="Times New Roman"/>
          <w:bCs/>
          <w:kern w:val="2"/>
          <w:sz w:val="22"/>
          <w:szCs w:val="22"/>
          <w:lang w:val="en-US" w:eastAsia="zh-CN" w:bidi="ar-SA"/>
        </w:rPr>
        <w:t>合同签订后</w:t>
      </w:r>
      <w:r>
        <w:rPr>
          <w:rFonts w:hint="eastAsia" w:ascii="宋体" w:hAnsi="宋体" w:cs="Times New Roman"/>
          <w:bCs/>
          <w:kern w:val="2"/>
          <w:sz w:val="22"/>
          <w:szCs w:val="22"/>
          <w:lang w:val="en-US" w:eastAsia="zh-CN" w:bidi="ar-SA"/>
        </w:rPr>
        <w:t>且现场满足设备进场条件后，经采购人书面通知</w:t>
      </w:r>
      <w:r>
        <w:rPr>
          <w:rFonts w:hint="eastAsia" w:ascii="宋体" w:hAnsi="宋体" w:eastAsia="宋体" w:cs="Times New Roman"/>
          <w:bCs/>
          <w:kern w:val="2"/>
          <w:sz w:val="22"/>
          <w:szCs w:val="22"/>
          <w:lang w:val="en-US" w:eastAsia="zh-CN" w:bidi="ar-SA"/>
        </w:rPr>
        <w:t>30日历天内交货并完成安装</w:t>
      </w:r>
      <w:r>
        <w:rPr>
          <w:rFonts w:hint="eastAsia" w:ascii="宋体" w:hAnsi="宋体" w:cs="Times New Roman"/>
          <w:bCs/>
          <w:kern w:val="2"/>
          <w:sz w:val="22"/>
          <w:szCs w:val="22"/>
          <w:lang w:val="en-US" w:eastAsia="zh-CN" w:bidi="ar-SA"/>
        </w:rPr>
        <w:t>。</w:t>
      </w:r>
    </w:p>
    <w:p w14:paraId="2A1A3055">
      <w:pPr>
        <w:snapToGrid w:val="0"/>
        <w:spacing w:line="400" w:lineRule="atLeast"/>
        <w:rPr>
          <w:rFonts w:ascii="宋体" w:hAnsi="宋体" w:cs="宋体"/>
          <w:sz w:val="22"/>
        </w:rPr>
      </w:pPr>
      <w:r>
        <w:rPr>
          <w:rFonts w:hint="eastAsia" w:ascii="宋体" w:hAnsi="宋体" w:cs="宋体"/>
          <w:sz w:val="22"/>
        </w:rPr>
        <w:t>第六条：验收</w:t>
      </w:r>
    </w:p>
    <w:p w14:paraId="434896F8">
      <w:pPr>
        <w:snapToGrid w:val="0"/>
        <w:spacing w:line="400" w:lineRule="atLeast"/>
        <w:ind w:firstLine="440" w:firstLineChars="200"/>
        <w:rPr>
          <w:rFonts w:hint="eastAsia" w:ascii="宋体" w:hAnsi="宋体" w:eastAsia="宋体" w:cs="宋体"/>
          <w:sz w:val="22"/>
        </w:rPr>
      </w:pPr>
      <w:r>
        <w:rPr>
          <w:rFonts w:hint="eastAsia" w:ascii="宋体" w:hAnsi="宋体" w:eastAsia="宋体" w:cs="宋体"/>
          <w:sz w:val="22"/>
          <w:lang w:val="en-US" w:eastAsia="zh-CN"/>
        </w:rPr>
        <w:t xml:space="preserve">1、乙方送货至指定地点后，由甲方根据货物的技术规格要求和质量标准，对货物进行检查验收，验收费用由乙方承担。 </w:t>
      </w:r>
    </w:p>
    <w:p w14:paraId="609C06CB">
      <w:pPr>
        <w:snapToGrid w:val="0"/>
        <w:spacing w:line="400" w:lineRule="atLeast"/>
        <w:ind w:firstLine="480"/>
        <w:rPr>
          <w:rFonts w:hint="eastAsia" w:ascii="宋体" w:hAnsi="宋体" w:eastAsia="宋体" w:cs="宋体"/>
          <w:sz w:val="22"/>
        </w:rPr>
      </w:pPr>
      <w:r>
        <w:rPr>
          <w:rFonts w:hint="eastAsia" w:ascii="宋体" w:hAnsi="宋体" w:eastAsia="宋体" w:cs="宋体"/>
          <w:sz w:val="22"/>
          <w:lang w:val="en-US" w:eastAsia="zh-CN"/>
        </w:rPr>
        <w:t xml:space="preserve">2、货物的数量不足或表面瑕疵，甲方应在验收时当面提出；对质量问题有异议的应在货物送达后 10 个工作日内提出。 </w:t>
      </w:r>
    </w:p>
    <w:p w14:paraId="34B2423B">
      <w:pPr>
        <w:snapToGrid w:val="0"/>
        <w:spacing w:line="400" w:lineRule="atLeast"/>
        <w:ind w:firstLine="480"/>
        <w:rPr>
          <w:rFonts w:hint="eastAsia" w:ascii="宋体" w:hAnsi="宋体" w:eastAsia="宋体" w:cs="宋体"/>
          <w:sz w:val="22"/>
        </w:rPr>
      </w:pPr>
      <w:r>
        <w:rPr>
          <w:rFonts w:hint="eastAsia" w:ascii="宋体" w:hAnsi="宋体" w:eastAsia="宋体" w:cs="宋体"/>
          <w:sz w:val="22"/>
          <w:lang w:val="en-US" w:eastAsia="zh-CN"/>
        </w:rPr>
        <w:t xml:space="preserve">3、在验收过程中发现数量不足或有质量、技术等问题，乙方应负责按照甲方的要求采取补足、更换或退货等处理措施，并承担由此发生的一切费用和损失。 </w:t>
      </w:r>
    </w:p>
    <w:p w14:paraId="6943AE43">
      <w:pPr>
        <w:snapToGrid w:val="0"/>
        <w:spacing w:line="400" w:lineRule="atLeast"/>
        <w:ind w:firstLine="480"/>
        <w:rPr>
          <w:rFonts w:hint="eastAsia" w:ascii="宋体" w:hAnsi="宋体" w:eastAsia="宋体" w:cs="宋体"/>
          <w:sz w:val="22"/>
        </w:rPr>
      </w:pPr>
      <w:r>
        <w:rPr>
          <w:rFonts w:hint="eastAsia" w:ascii="宋体" w:hAnsi="宋体" w:eastAsia="宋体" w:cs="宋体"/>
          <w:sz w:val="22"/>
          <w:lang w:val="en-US" w:eastAsia="zh-CN"/>
        </w:rPr>
        <w:t xml:space="preserve">4、甲方在乙方按合同规定交货后，无正当理由而拖延接收、验收或拒绝接收、验收的，应承担由此而造成的乙方直接损失由甲方负责相应赔偿。 </w:t>
      </w:r>
    </w:p>
    <w:p w14:paraId="6BC8A143">
      <w:pPr>
        <w:snapToGrid w:val="0"/>
        <w:spacing w:line="400" w:lineRule="atLeast"/>
        <w:ind w:firstLine="480"/>
        <w:rPr>
          <w:rFonts w:hint="eastAsia" w:ascii="宋体" w:hAnsi="宋体" w:eastAsia="宋体" w:cs="宋体"/>
          <w:sz w:val="22"/>
        </w:rPr>
      </w:pPr>
      <w:r>
        <w:rPr>
          <w:rFonts w:hint="eastAsia" w:ascii="宋体" w:hAnsi="宋体" w:eastAsia="宋体" w:cs="宋体"/>
          <w:sz w:val="22"/>
          <w:lang w:val="en-US" w:eastAsia="zh-CN"/>
        </w:rPr>
        <w:t>5、按甲方要求运输到指定仓库由</w:t>
      </w:r>
      <w:r>
        <w:rPr>
          <w:rFonts w:hint="eastAsia" w:ascii="宋体" w:hAnsi="宋体" w:cs="宋体"/>
          <w:sz w:val="22"/>
          <w:lang w:val="en-US" w:eastAsia="zh-CN"/>
        </w:rPr>
        <w:t>乙方</w:t>
      </w:r>
      <w:r>
        <w:rPr>
          <w:rFonts w:hint="eastAsia" w:ascii="宋体" w:hAnsi="宋体" w:eastAsia="宋体" w:cs="宋体"/>
          <w:sz w:val="22"/>
          <w:lang w:val="en-US" w:eastAsia="zh-CN"/>
        </w:rPr>
        <w:t xml:space="preserve">负责卸货及搬运，运输过程中发生的费用由乙方负责。 </w:t>
      </w:r>
    </w:p>
    <w:p w14:paraId="547D10E7">
      <w:pPr>
        <w:snapToGrid w:val="0"/>
        <w:spacing w:line="400" w:lineRule="atLeast"/>
        <w:ind w:firstLine="480"/>
        <w:rPr>
          <w:rFonts w:hint="eastAsia" w:ascii="宋体" w:hAnsi="宋体" w:eastAsia="宋体" w:cs="宋体"/>
          <w:sz w:val="22"/>
        </w:rPr>
      </w:pPr>
      <w:r>
        <w:rPr>
          <w:rFonts w:hint="default" w:ascii="宋体" w:hAnsi="宋体" w:eastAsia="宋体" w:cs="宋体"/>
          <w:sz w:val="22"/>
          <w:lang w:val="en-US" w:eastAsia="zh-CN"/>
        </w:rPr>
        <w:t>6</w:t>
      </w:r>
      <w:r>
        <w:rPr>
          <w:rFonts w:hint="eastAsia" w:ascii="宋体" w:hAnsi="宋体" w:eastAsia="宋体" w:cs="宋体"/>
          <w:sz w:val="22"/>
          <w:lang w:val="en-US" w:eastAsia="zh-CN"/>
        </w:rPr>
        <w:t xml:space="preserve">、如组织验收未达到验收标准，（验收标准为采购文件和乙方投标（响应）文件参数要求）甲方有权解除合同。乙方应在收到甲方解除合同的通知三日内退还未履行部分的款项，并承担因此给甲方的造成的所有损失。 </w:t>
      </w:r>
    </w:p>
    <w:p w14:paraId="7CA289D1">
      <w:pPr>
        <w:snapToGrid w:val="0"/>
        <w:spacing w:line="400" w:lineRule="atLeast"/>
        <w:ind w:firstLine="480"/>
        <w:rPr>
          <w:rFonts w:hint="eastAsia" w:ascii="宋体" w:hAnsi="宋体" w:eastAsia="宋体" w:cs="宋体"/>
          <w:sz w:val="22"/>
        </w:rPr>
      </w:pPr>
      <w:r>
        <w:rPr>
          <w:rFonts w:hint="default" w:ascii="宋体" w:hAnsi="宋体" w:eastAsia="宋体" w:cs="宋体"/>
          <w:sz w:val="22"/>
          <w:lang w:val="en-US" w:eastAsia="zh-CN"/>
        </w:rPr>
        <w:t>7</w:t>
      </w:r>
      <w:r>
        <w:rPr>
          <w:rFonts w:hint="eastAsia" w:ascii="宋体" w:hAnsi="宋体" w:eastAsia="宋体" w:cs="宋体"/>
          <w:sz w:val="22"/>
          <w:lang w:val="en-US" w:eastAsia="zh-CN"/>
        </w:rPr>
        <w:t>、乙方负责、运输、装卸、就位、安装、调试、检验、通过验收费用，包含在合同总价中。</w:t>
      </w:r>
    </w:p>
    <w:p w14:paraId="59082C8B">
      <w:pPr>
        <w:snapToGrid w:val="0"/>
        <w:spacing w:line="400" w:lineRule="atLeast"/>
        <w:rPr>
          <w:rFonts w:ascii="宋体" w:hAnsi="宋体" w:cs="宋体"/>
          <w:sz w:val="22"/>
        </w:rPr>
      </w:pPr>
      <w:r>
        <w:rPr>
          <w:rFonts w:hint="eastAsia" w:ascii="宋体" w:hAnsi="宋体" w:cs="宋体"/>
          <w:sz w:val="22"/>
        </w:rPr>
        <w:t>第七条：售后服务</w:t>
      </w:r>
    </w:p>
    <w:p w14:paraId="28FA69A9">
      <w:pPr>
        <w:snapToGrid w:val="0"/>
        <w:spacing w:line="400" w:lineRule="atLeast"/>
        <w:ind w:firstLine="480"/>
        <w:rPr>
          <w:rFonts w:ascii="宋体" w:hAnsi="宋体" w:cs="宋体"/>
          <w:sz w:val="22"/>
        </w:rPr>
      </w:pPr>
      <w:r>
        <w:rPr>
          <w:rFonts w:hint="eastAsia" w:ascii="宋体" w:hAnsi="宋体" w:cs="宋体"/>
          <w:sz w:val="22"/>
        </w:rPr>
        <w:t>乙方承诺售后服务按照投标承诺的服务计划实施，包括培训。</w:t>
      </w:r>
    </w:p>
    <w:p w14:paraId="1189C7A6">
      <w:pPr>
        <w:snapToGrid w:val="0"/>
        <w:spacing w:line="400" w:lineRule="atLeast"/>
        <w:rPr>
          <w:rFonts w:ascii="宋体" w:hAnsi="宋体" w:cs="宋体"/>
          <w:sz w:val="22"/>
        </w:rPr>
      </w:pPr>
      <w:r>
        <w:rPr>
          <w:rFonts w:hint="eastAsia" w:ascii="宋体" w:hAnsi="宋体" w:cs="宋体"/>
          <w:sz w:val="22"/>
        </w:rPr>
        <w:t>第八条：履约保证金</w:t>
      </w:r>
    </w:p>
    <w:p w14:paraId="6A53010C">
      <w:pPr>
        <w:widowControl/>
        <w:autoSpaceDE w:val="0"/>
        <w:autoSpaceDN w:val="0"/>
        <w:adjustRightInd w:val="0"/>
        <w:snapToGrid w:val="0"/>
        <w:spacing w:line="380" w:lineRule="exact"/>
        <w:ind w:firstLine="440" w:firstLineChars="200"/>
        <w:textAlignment w:val="bottom"/>
        <w:rPr>
          <w:rFonts w:ascii="宋体" w:hAnsi="宋体" w:cs="宋体"/>
          <w:color w:val="000000"/>
          <w:sz w:val="22"/>
        </w:rPr>
      </w:pPr>
      <w:r>
        <w:rPr>
          <w:rFonts w:hint="eastAsia" w:ascii="宋体" w:cs="黑体"/>
          <w:color w:val="auto"/>
          <w:sz w:val="22"/>
          <w:szCs w:val="24"/>
          <w:highlight w:val="none"/>
          <w:lang w:eastAsia="zh-CN"/>
        </w:rPr>
        <w:t>合同签订后7日历天内，乙方应提供合同总金额1%的履约保证金。供应商以银行、保险公司出具保函形式提交履约保证金的，采购人不得拒收</w:t>
      </w:r>
      <w:r>
        <w:rPr>
          <w:rFonts w:hint="eastAsia" w:hAnsi="宋体" w:cs="仿宋_GB2312"/>
          <w:b w:val="0"/>
          <w:bCs w:val="0"/>
          <w:color w:val="000000"/>
          <w:sz w:val="22"/>
          <w:szCs w:val="22"/>
        </w:rPr>
        <w:t>。</w:t>
      </w:r>
    </w:p>
    <w:p w14:paraId="21F5712D">
      <w:pPr>
        <w:snapToGrid w:val="0"/>
        <w:spacing w:line="400" w:lineRule="atLeast"/>
        <w:rPr>
          <w:rFonts w:ascii="宋体" w:hAnsi="宋体" w:cs="宋体"/>
          <w:color w:val="000000"/>
          <w:sz w:val="22"/>
        </w:rPr>
      </w:pPr>
      <w:r>
        <w:rPr>
          <w:rFonts w:hint="eastAsia" w:ascii="宋体" w:hAnsi="宋体" w:cs="宋体"/>
          <w:color w:val="000000"/>
          <w:sz w:val="22"/>
        </w:rPr>
        <w:t>第九条：付款方式</w:t>
      </w:r>
    </w:p>
    <w:p w14:paraId="596E5A43">
      <w:pPr>
        <w:snapToGrid w:val="0"/>
        <w:spacing w:line="400" w:lineRule="atLeast"/>
        <w:ind w:firstLine="440" w:firstLineChars="200"/>
        <w:rPr>
          <w:rFonts w:hint="eastAsia" w:ascii="宋体" w:hAnsi="宋体" w:eastAsia="宋体" w:cs="宋体"/>
          <w:sz w:val="22"/>
          <w:highlight w:val="yellow"/>
          <w:lang w:val="en-US" w:eastAsia="zh-CN"/>
        </w:rPr>
      </w:pPr>
      <w:r>
        <w:rPr>
          <w:rFonts w:hint="eastAsia" w:ascii="宋体" w:hAnsi="宋体" w:cs="黑体"/>
          <w:b w:val="0"/>
          <w:bCs w:val="0"/>
          <w:color w:val="auto"/>
          <w:sz w:val="22"/>
          <w:szCs w:val="24"/>
          <w:highlight w:val="none"/>
          <w:lang w:eastAsia="zh-CN"/>
        </w:rPr>
        <w:t>在合同生效以及具备实施条件后</w:t>
      </w:r>
      <w:r>
        <w:rPr>
          <w:rFonts w:hint="eastAsia" w:ascii="宋体" w:hAnsi="宋体" w:cs="黑体"/>
          <w:b w:val="0"/>
          <w:bCs w:val="0"/>
          <w:color w:val="auto"/>
          <w:sz w:val="22"/>
          <w:szCs w:val="24"/>
          <w:highlight w:val="none"/>
          <w:lang w:val="en-US" w:eastAsia="zh-CN"/>
        </w:rPr>
        <w:t>甲方</w:t>
      </w:r>
      <w:r>
        <w:rPr>
          <w:rFonts w:hint="eastAsia" w:ascii="宋体" w:hAnsi="宋体" w:cs="黑体"/>
          <w:b w:val="0"/>
          <w:bCs w:val="0"/>
          <w:color w:val="auto"/>
          <w:sz w:val="22"/>
          <w:szCs w:val="24"/>
          <w:highlight w:val="none"/>
          <w:lang w:eastAsia="zh-CN"/>
        </w:rPr>
        <w:t>支付合同款的40%；设备安装调试完成并通过验收合格</w:t>
      </w:r>
      <w:r>
        <w:rPr>
          <w:rFonts w:hint="eastAsia" w:ascii="宋体" w:hAnsi="宋体" w:cs="黑体"/>
          <w:b w:val="0"/>
          <w:bCs w:val="0"/>
          <w:color w:val="auto"/>
          <w:sz w:val="22"/>
          <w:szCs w:val="24"/>
          <w:highlight w:val="none"/>
          <w:lang w:val="en-US" w:eastAsia="zh-CN"/>
        </w:rPr>
        <w:t>后支付合同</w:t>
      </w:r>
      <w:r>
        <w:rPr>
          <w:rFonts w:hint="eastAsia" w:ascii="宋体" w:hAnsi="宋体" w:cs="黑体"/>
          <w:b w:val="0"/>
          <w:bCs w:val="0"/>
          <w:color w:val="auto"/>
          <w:sz w:val="22"/>
          <w:szCs w:val="24"/>
          <w:highlight w:val="none"/>
          <w:lang w:eastAsia="zh-CN"/>
        </w:rPr>
        <w:t>款的</w:t>
      </w:r>
      <w:r>
        <w:rPr>
          <w:rFonts w:hint="eastAsia" w:ascii="宋体" w:hAnsi="宋体" w:cs="黑体"/>
          <w:b w:val="0"/>
          <w:bCs w:val="0"/>
          <w:color w:val="auto"/>
          <w:sz w:val="22"/>
          <w:szCs w:val="24"/>
          <w:highlight w:val="none"/>
          <w:lang w:val="en-US" w:eastAsia="zh-CN"/>
        </w:rPr>
        <w:t>3</w:t>
      </w:r>
      <w:r>
        <w:rPr>
          <w:rFonts w:hint="eastAsia" w:ascii="宋体" w:hAnsi="宋体" w:cs="黑体"/>
          <w:b w:val="0"/>
          <w:bCs w:val="0"/>
          <w:color w:val="auto"/>
          <w:sz w:val="22"/>
          <w:szCs w:val="24"/>
          <w:highlight w:val="none"/>
          <w:lang w:eastAsia="zh-CN"/>
        </w:rPr>
        <w:t>0%，经试运行</w:t>
      </w:r>
      <w:r>
        <w:rPr>
          <w:rFonts w:hint="eastAsia" w:ascii="宋体" w:hAnsi="宋体" w:cs="黑体"/>
          <w:b w:val="0"/>
          <w:bCs w:val="0"/>
          <w:color w:val="auto"/>
          <w:sz w:val="22"/>
          <w:szCs w:val="24"/>
          <w:highlight w:val="none"/>
          <w:lang w:val="en-US" w:eastAsia="zh-CN"/>
        </w:rPr>
        <w:t>二</w:t>
      </w:r>
      <w:r>
        <w:rPr>
          <w:rFonts w:hint="eastAsia" w:ascii="宋体" w:hAnsi="宋体" w:cs="黑体"/>
          <w:b w:val="0"/>
          <w:bCs w:val="0"/>
          <w:color w:val="auto"/>
          <w:sz w:val="22"/>
          <w:szCs w:val="24"/>
          <w:highlight w:val="none"/>
          <w:lang w:eastAsia="zh-CN"/>
        </w:rPr>
        <w:t>个月后，</w:t>
      </w:r>
      <w:r>
        <w:rPr>
          <w:rFonts w:hint="eastAsia" w:ascii="宋体" w:hAnsi="宋体" w:cs="黑体"/>
          <w:b w:val="0"/>
          <w:bCs w:val="0"/>
          <w:color w:val="auto"/>
          <w:sz w:val="22"/>
          <w:szCs w:val="24"/>
          <w:highlight w:val="none"/>
          <w:lang w:val="en-US" w:eastAsia="zh-CN"/>
        </w:rPr>
        <w:t>设备</w:t>
      </w:r>
      <w:r>
        <w:rPr>
          <w:rFonts w:hint="eastAsia" w:ascii="宋体" w:hAnsi="宋体" w:cs="黑体"/>
          <w:b w:val="0"/>
          <w:bCs w:val="0"/>
          <w:color w:val="auto"/>
          <w:sz w:val="22"/>
          <w:szCs w:val="24"/>
          <w:highlight w:val="none"/>
          <w:lang w:eastAsia="zh-CN"/>
        </w:rPr>
        <w:t>符合要求</w:t>
      </w:r>
      <w:r>
        <w:rPr>
          <w:rFonts w:hint="eastAsia" w:ascii="宋体" w:hAnsi="宋体" w:cs="黑体"/>
          <w:b w:val="0"/>
          <w:bCs w:val="0"/>
          <w:color w:val="auto"/>
          <w:sz w:val="22"/>
          <w:szCs w:val="24"/>
          <w:highlight w:val="none"/>
          <w:lang w:val="en-US" w:eastAsia="zh-CN"/>
        </w:rPr>
        <w:t>的</w:t>
      </w:r>
      <w:r>
        <w:rPr>
          <w:rFonts w:hint="eastAsia" w:ascii="宋体" w:hAnsi="宋体" w:cs="黑体"/>
          <w:b w:val="0"/>
          <w:bCs w:val="0"/>
          <w:color w:val="auto"/>
          <w:sz w:val="22"/>
          <w:szCs w:val="24"/>
          <w:highlight w:val="none"/>
          <w:lang w:eastAsia="zh-CN"/>
        </w:rPr>
        <w:t>，采购人支付</w:t>
      </w:r>
      <w:r>
        <w:rPr>
          <w:rFonts w:hint="eastAsia" w:ascii="宋体" w:hAnsi="宋体" w:cs="黑体"/>
          <w:b w:val="0"/>
          <w:bCs w:val="0"/>
          <w:color w:val="auto"/>
          <w:sz w:val="22"/>
          <w:szCs w:val="24"/>
          <w:highlight w:val="none"/>
          <w:lang w:val="en-US" w:eastAsia="zh-CN"/>
        </w:rPr>
        <w:t>合同款的30%</w:t>
      </w:r>
      <w:r>
        <w:rPr>
          <w:rFonts w:hint="eastAsia" w:ascii="宋体" w:hAnsi="宋体" w:cs="黑体"/>
          <w:b w:val="0"/>
          <w:bCs w:val="0"/>
          <w:color w:val="auto"/>
          <w:sz w:val="22"/>
          <w:szCs w:val="24"/>
          <w:highlight w:val="none"/>
          <w:lang w:eastAsia="zh-CN"/>
        </w:rPr>
        <w:t>。（中标供应商必须开具合同金额100%的增值税专用发票）。</w:t>
      </w:r>
    </w:p>
    <w:p w14:paraId="4B31CF5B">
      <w:pPr>
        <w:snapToGrid w:val="0"/>
        <w:spacing w:line="400" w:lineRule="atLeast"/>
        <w:rPr>
          <w:rFonts w:ascii="宋体" w:hAnsi="宋体" w:cs="宋体"/>
          <w:sz w:val="22"/>
        </w:rPr>
      </w:pPr>
      <w:r>
        <w:rPr>
          <w:rFonts w:hint="eastAsia" w:ascii="宋体" w:hAnsi="宋体" w:cs="宋体"/>
          <w:sz w:val="22"/>
        </w:rPr>
        <w:t>第十条：辅助服务</w:t>
      </w:r>
    </w:p>
    <w:p w14:paraId="15D60471">
      <w:pPr>
        <w:snapToGrid w:val="0"/>
        <w:spacing w:line="400" w:lineRule="atLeast"/>
        <w:ind w:firstLine="440" w:firstLineChars="200"/>
        <w:rPr>
          <w:rFonts w:ascii="宋体" w:hAnsi="宋体" w:cs="宋体"/>
          <w:sz w:val="22"/>
        </w:rPr>
      </w:pPr>
      <w:r>
        <w:rPr>
          <w:rFonts w:hint="eastAsia" w:ascii="宋体" w:hAnsi="宋体" w:cs="宋体"/>
          <w:sz w:val="22"/>
        </w:rPr>
        <w:t>1. 乙方应提交所提供货物的技术文件，包括相应的每一套设备的中文技术文件，例如：产品目录、图纸、操作手册、使用说明、维护手册和/或服务指南。这些文件应包装好随同货物一起发运。</w:t>
      </w:r>
    </w:p>
    <w:p w14:paraId="4E83438B">
      <w:pPr>
        <w:snapToGrid w:val="0"/>
        <w:spacing w:line="400" w:lineRule="atLeast"/>
        <w:ind w:firstLine="440" w:firstLineChars="200"/>
        <w:rPr>
          <w:rFonts w:ascii="宋体" w:hAnsi="宋体" w:cs="宋体"/>
          <w:sz w:val="22"/>
        </w:rPr>
      </w:pPr>
      <w:r>
        <w:rPr>
          <w:rFonts w:hint="eastAsia" w:ascii="宋体" w:hAnsi="宋体" w:cs="宋体"/>
          <w:sz w:val="22"/>
        </w:rPr>
        <w:t>2. 乙方还应提供下列服务：</w:t>
      </w:r>
    </w:p>
    <w:p w14:paraId="382BC661">
      <w:pPr>
        <w:spacing w:line="400" w:lineRule="atLeast"/>
        <w:rPr>
          <w:rFonts w:ascii="宋体" w:hAnsi="宋体" w:cs="宋体"/>
          <w:sz w:val="22"/>
        </w:rPr>
      </w:pPr>
      <w:r>
        <w:rPr>
          <w:rFonts w:hint="eastAsia" w:ascii="宋体" w:hAnsi="宋体" w:cs="宋体"/>
          <w:sz w:val="22"/>
        </w:rPr>
        <w:t xml:space="preserve">    （1）货物的现场指导安装、调试、启动监督及技术支持；</w:t>
      </w:r>
    </w:p>
    <w:p w14:paraId="53A1BC90">
      <w:pPr>
        <w:spacing w:line="400" w:lineRule="atLeast"/>
        <w:rPr>
          <w:rFonts w:ascii="宋体" w:hAnsi="宋体" w:cs="宋体"/>
          <w:sz w:val="22"/>
        </w:rPr>
      </w:pPr>
      <w:r>
        <w:rPr>
          <w:rFonts w:hint="eastAsia" w:ascii="宋体" w:hAnsi="宋体" w:cs="宋体"/>
          <w:sz w:val="22"/>
        </w:rPr>
        <w:t xml:space="preserve">    （2）在项目现场就货物的指导安装、启动、运营、维护对甲方操作人员进行培训。辅助服务的费用包含在合同价中，甲方不再另行支付。</w:t>
      </w:r>
    </w:p>
    <w:p w14:paraId="19BEB44D">
      <w:pPr>
        <w:snapToGrid w:val="0"/>
        <w:spacing w:line="400" w:lineRule="atLeast"/>
        <w:ind w:left="-360" w:firstLine="360"/>
        <w:rPr>
          <w:rFonts w:ascii="宋体" w:hAnsi="宋体" w:cs="宋体"/>
          <w:sz w:val="22"/>
        </w:rPr>
      </w:pPr>
      <w:r>
        <w:rPr>
          <w:rFonts w:hint="eastAsia" w:ascii="宋体" w:hAnsi="宋体" w:cs="宋体"/>
          <w:sz w:val="22"/>
        </w:rPr>
        <w:t>第十一条：质量保证</w:t>
      </w:r>
    </w:p>
    <w:p w14:paraId="4FC938B2">
      <w:pPr>
        <w:spacing w:line="400" w:lineRule="exact"/>
        <w:ind w:firstLine="220" w:firstLineChars="100"/>
        <w:rPr>
          <w:rFonts w:ascii="宋体" w:hAnsi="宋体" w:cs="宋体"/>
          <w:sz w:val="22"/>
        </w:rPr>
      </w:pPr>
      <w:r>
        <w:rPr>
          <w:rFonts w:hint="eastAsia" w:ascii="宋体" w:hAnsi="宋体" w:cs="宋体"/>
          <w:sz w:val="22"/>
        </w:rPr>
        <w:t xml:space="preserve">    乙方应保证所供货物是全新的、未使用过的，并完全符合合同规定的质量、规格和性能的要求。乙方应保证其货物在正确安装、正常使用和保养条件下，在其使用寿命期内应具有满意的性能。在货物最终交付验收后不少于</w:t>
      </w:r>
      <w:r>
        <w:rPr>
          <w:rFonts w:hint="eastAsia" w:ascii="宋体" w:hAnsi="宋体" w:cs="宋体"/>
          <w:b/>
          <w:sz w:val="22"/>
          <w:u w:val="single"/>
        </w:rPr>
        <w:t xml:space="preserve"> </w:t>
      </w:r>
      <w:r>
        <w:rPr>
          <w:rFonts w:hint="eastAsia" w:ascii="宋体" w:hAnsi="宋体" w:cs="宋体"/>
          <w:b/>
          <w:sz w:val="22"/>
          <w:u w:val="single"/>
          <w:lang w:val="en-US" w:eastAsia="zh-CN"/>
        </w:rPr>
        <w:t>24</w:t>
      </w:r>
      <w:r>
        <w:rPr>
          <w:rFonts w:hint="eastAsia" w:ascii="宋体" w:hAnsi="宋体" w:cs="宋体"/>
          <w:b/>
          <w:sz w:val="22"/>
          <w:u w:val="single"/>
        </w:rPr>
        <w:t xml:space="preserve">  </w:t>
      </w:r>
      <w:r>
        <w:rPr>
          <w:rFonts w:hint="eastAsia" w:ascii="宋体" w:hAnsi="宋体" w:cs="宋体"/>
          <w:sz w:val="22"/>
        </w:rPr>
        <w:t>个月的质量保证期内，乙方应对由于设计、工艺或材料的缺陷而产生的故障负责。</w:t>
      </w:r>
    </w:p>
    <w:p w14:paraId="7EB165F3">
      <w:pPr>
        <w:spacing w:line="400" w:lineRule="exact"/>
        <w:ind w:firstLine="385" w:firstLineChars="175"/>
        <w:rPr>
          <w:rFonts w:ascii="宋体" w:hAnsi="宋体" w:cs="宋体"/>
          <w:sz w:val="22"/>
        </w:rPr>
      </w:pPr>
      <w:r>
        <w:rPr>
          <w:rFonts w:hint="eastAsia" w:ascii="宋体" w:hAnsi="宋体" w:cs="宋体"/>
          <w:sz w:val="22"/>
        </w:rPr>
        <w:t>在质量保证期内，如果货物的质量或规格与合同不符，或证实货物是有缺陷的，包括潜在的缺陷或使用不符合要求的材料等，甲方可以根据本合同第十三条规定以书面形式向乙方提出补救措施或索赔。</w:t>
      </w:r>
    </w:p>
    <w:p w14:paraId="08A48852">
      <w:pPr>
        <w:spacing w:line="400" w:lineRule="exact"/>
        <w:ind w:firstLine="420"/>
        <w:rPr>
          <w:rFonts w:ascii="宋体" w:hAnsi="宋体" w:cs="宋体"/>
          <w:sz w:val="22"/>
        </w:rPr>
      </w:pPr>
      <w:r>
        <w:rPr>
          <w:rFonts w:hint="eastAsia" w:ascii="宋体" w:hAnsi="宋体" w:cs="宋体"/>
          <w:sz w:val="22"/>
        </w:rPr>
        <w:t>乙方在约定的时间内未能弥补缺陷，甲方可采取必要的补救措施，但其风险和费用将由乙方承担，甲方根据合同规定对乙方行使的其他权利不受影响。</w:t>
      </w:r>
    </w:p>
    <w:p w14:paraId="79A62713">
      <w:pPr>
        <w:snapToGrid w:val="0"/>
        <w:spacing w:line="400" w:lineRule="atLeast"/>
        <w:rPr>
          <w:rFonts w:ascii="宋体" w:hAnsi="宋体" w:cs="宋体"/>
          <w:sz w:val="22"/>
        </w:rPr>
      </w:pPr>
      <w:r>
        <w:rPr>
          <w:rFonts w:hint="eastAsia" w:ascii="宋体" w:hAnsi="宋体" w:cs="宋体"/>
          <w:sz w:val="22"/>
        </w:rPr>
        <w:t>第十二条：补救措施和索赔</w:t>
      </w:r>
    </w:p>
    <w:p w14:paraId="08116DD1">
      <w:pPr>
        <w:snapToGrid w:val="0"/>
        <w:spacing w:line="400" w:lineRule="atLeast"/>
        <w:ind w:firstLine="420"/>
        <w:rPr>
          <w:rFonts w:ascii="宋体" w:hAnsi="宋体" w:cs="宋体"/>
          <w:sz w:val="22"/>
        </w:rPr>
      </w:pPr>
      <w:r>
        <w:rPr>
          <w:rFonts w:hint="eastAsia" w:ascii="宋体" w:hAnsi="宋体" w:cs="宋体"/>
          <w:sz w:val="22"/>
        </w:rPr>
        <w:t>1. 甲方有权根据权威质量检测部门出具的检验报告向乙方提出索赔。</w:t>
      </w:r>
    </w:p>
    <w:p w14:paraId="69083C2C">
      <w:pPr>
        <w:snapToGrid w:val="0"/>
        <w:spacing w:line="400" w:lineRule="atLeast"/>
        <w:ind w:firstLine="420"/>
        <w:rPr>
          <w:rFonts w:ascii="宋体" w:hAnsi="宋体" w:cs="宋体"/>
          <w:sz w:val="22"/>
        </w:rPr>
      </w:pPr>
      <w:r>
        <w:rPr>
          <w:rFonts w:hint="eastAsia" w:ascii="宋体" w:hAnsi="宋体" w:cs="宋体"/>
          <w:sz w:val="22"/>
        </w:rPr>
        <w:t>2. 在质量保证期内，如果乙方对缺陷产品负有责任而甲方提出索赔，乙方应按照甲方同意的下列一种或多种方式解决索赔事宜，并且甲方可以收取乙方合同总价20%的违约金：</w:t>
      </w:r>
    </w:p>
    <w:p w14:paraId="7A2E1781">
      <w:pPr>
        <w:snapToGrid w:val="0"/>
        <w:spacing w:line="400" w:lineRule="atLeast"/>
        <w:ind w:firstLine="440" w:firstLineChars="200"/>
        <w:rPr>
          <w:rFonts w:ascii="宋体" w:hAnsi="宋体" w:cs="宋体"/>
          <w:sz w:val="22"/>
        </w:rPr>
      </w:pPr>
      <w:r>
        <w:rPr>
          <w:rFonts w:hint="eastAsia" w:ascii="宋体" w:hAnsi="宋体" w:cs="宋体"/>
          <w:sz w:val="22"/>
        </w:rPr>
        <w:t>（1） 乙方退货并将货款退还给甲方，由此发生的一切费用和损失由乙方承担。</w:t>
      </w:r>
    </w:p>
    <w:p w14:paraId="370ABF35">
      <w:pPr>
        <w:snapToGrid w:val="0"/>
        <w:spacing w:line="400" w:lineRule="atLeast"/>
        <w:ind w:firstLine="440" w:firstLineChars="200"/>
        <w:rPr>
          <w:rFonts w:ascii="宋体" w:hAnsi="宋体" w:cs="宋体"/>
          <w:sz w:val="22"/>
        </w:rPr>
      </w:pPr>
      <w:r>
        <w:rPr>
          <w:rFonts w:hint="eastAsia" w:ascii="宋体" w:hAnsi="宋体" w:cs="宋体"/>
          <w:sz w:val="22"/>
        </w:rPr>
        <w:t>（2） 根据货物的质量状况以及甲方所遭受的损失，经过</w:t>
      </w:r>
      <w:r>
        <w:rPr>
          <w:rFonts w:hint="eastAsia" w:ascii="宋体" w:hAnsi="宋体" w:cs="宋体"/>
          <w:sz w:val="22"/>
          <w:lang w:val="en-US" w:eastAsia="zh-CN"/>
        </w:rPr>
        <w:t>三</w:t>
      </w:r>
      <w:r>
        <w:rPr>
          <w:rFonts w:hint="eastAsia" w:ascii="宋体" w:hAnsi="宋体" w:cs="宋体"/>
          <w:sz w:val="22"/>
        </w:rPr>
        <w:t>方商定降低货物的价格。</w:t>
      </w:r>
    </w:p>
    <w:p w14:paraId="6AC2F81D">
      <w:pPr>
        <w:snapToGrid w:val="0"/>
        <w:spacing w:line="400" w:lineRule="atLeast"/>
        <w:ind w:firstLine="440" w:firstLineChars="200"/>
        <w:rPr>
          <w:rFonts w:ascii="宋体" w:hAnsi="宋体" w:cs="宋体"/>
          <w:sz w:val="22"/>
        </w:rPr>
      </w:pPr>
      <w:r>
        <w:rPr>
          <w:rFonts w:hint="eastAsia" w:ascii="宋体" w:hAnsi="宋体" w:cs="宋体"/>
          <w:sz w:val="22"/>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7354729C">
      <w:pPr>
        <w:snapToGrid w:val="0"/>
        <w:spacing w:line="400" w:lineRule="atLeast"/>
        <w:ind w:firstLine="440" w:firstLineChars="200"/>
        <w:rPr>
          <w:rFonts w:ascii="宋体" w:hAnsi="宋体" w:cs="宋体"/>
          <w:sz w:val="22"/>
        </w:rPr>
      </w:pPr>
      <w:r>
        <w:rPr>
          <w:rFonts w:hint="eastAsia" w:ascii="宋体" w:hAnsi="宋体" w:cs="宋体"/>
          <w:sz w:val="22"/>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p w14:paraId="52049EA9">
      <w:pPr>
        <w:snapToGrid w:val="0"/>
        <w:spacing w:line="400" w:lineRule="atLeast"/>
        <w:rPr>
          <w:rFonts w:ascii="宋体" w:hAnsi="宋体" w:cs="宋体"/>
          <w:sz w:val="22"/>
        </w:rPr>
      </w:pPr>
      <w:r>
        <w:rPr>
          <w:rFonts w:hint="eastAsia" w:ascii="宋体" w:hAnsi="宋体" w:cs="宋体"/>
          <w:sz w:val="22"/>
        </w:rPr>
        <w:t>第十三条：履约延误</w:t>
      </w:r>
    </w:p>
    <w:p w14:paraId="76415078">
      <w:pPr>
        <w:snapToGrid w:val="0"/>
        <w:spacing w:line="400" w:lineRule="atLeast"/>
        <w:rPr>
          <w:rFonts w:ascii="宋体" w:hAnsi="宋体" w:cs="宋体"/>
          <w:sz w:val="22"/>
        </w:rPr>
      </w:pPr>
      <w:r>
        <w:rPr>
          <w:rFonts w:hint="eastAsia" w:ascii="宋体" w:hAnsi="宋体" w:cs="宋体"/>
          <w:sz w:val="22"/>
        </w:rPr>
        <w:t xml:space="preserve">    1. 乙方应按照《合同》规定的时间、地点交货和提供服务。</w:t>
      </w:r>
    </w:p>
    <w:p w14:paraId="1719B8C2">
      <w:pPr>
        <w:snapToGrid w:val="0"/>
        <w:spacing w:line="400" w:lineRule="atLeast"/>
        <w:rPr>
          <w:rFonts w:ascii="宋体" w:hAnsi="宋体" w:cs="宋体"/>
          <w:sz w:val="22"/>
        </w:rPr>
      </w:pPr>
      <w:r>
        <w:rPr>
          <w:rFonts w:hint="eastAsia" w:ascii="宋体" w:hAnsi="宋体" w:cs="宋体"/>
          <w:sz w:val="22"/>
        </w:rPr>
        <w:t xml:space="preserve">    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18F9E6CF">
      <w:pPr>
        <w:snapToGrid w:val="0"/>
        <w:spacing w:line="400" w:lineRule="atLeast"/>
        <w:ind w:firstLine="440" w:firstLineChars="200"/>
        <w:rPr>
          <w:rFonts w:ascii="宋体" w:hAnsi="宋体" w:cs="宋体"/>
          <w:sz w:val="22"/>
        </w:rPr>
      </w:pPr>
      <w:r>
        <w:rPr>
          <w:rFonts w:hint="eastAsia" w:ascii="宋体" w:hAnsi="宋体" w:cs="宋体"/>
          <w:sz w:val="22"/>
        </w:rPr>
        <w:t>3. 如乙方无正当理由而拖延交货，经协商无效,甲方有权追究乙方的违约责任。延期交货违约责任按每延期一天罚款</w:t>
      </w:r>
      <w:r>
        <w:rPr>
          <w:rFonts w:hint="eastAsia" w:ascii="宋体" w:hAnsi="宋体" w:cs="宋体"/>
          <w:sz w:val="22"/>
          <w:lang w:val="en-US" w:eastAsia="zh-CN"/>
        </w:rPr>
        <w:t>2</w:t>
      </w:r>
      <w:r>
        <w:rPr>
          <w:rFonts w:hint="eastAsia" w:ascii="宋体" w:hAnsi="宋体" w:cs="宋体"/>
          <w:sz w:val="22"/>
        </w:rPr>
        <w:t>000元处理，如果超出合同规定期限10天应不能供货，则甲方可以终止合同，并收取乙方合同总价20%的违约金。</w:t>
      </w:r>
    </w:p>
    <w:p w14:paraId="3813218A">
      <w:pPr>
        <w:snapToGrid w:val="0"/>
        <w:spacing w:line="400" w:lineRule="atLeast"/>
        <w:rPr>
          <w:rFonts w:ascii="宋体" w:hAnsi="宋体" w:cs="宋体"/>
          <w:sz w:val="22"/>
        </w:rPr>
      </w:pPr>
      <w:r>
        <w:rPr>
          <w:rFonts w:hint="eastAsia" w:ascii="宋体" w:hAnsi="宋体" w:cs="宋体"/>
          <w:sz w:val="22"/>
        </w:rPr>
        <w:t xml:space="preserve"> 第十四条：不可抗力</w:t>
      </w:r>
    </w:p>
    <w:p w14:paraId="3F3FFF70">
      <w:pPr>
        <w:snapToGrid w:val="0"/>
        <w:spacing w:line="400" w:lineRule="atLeast"/>
        <w:rPr>
          <w:rFonts w:ascii="宋体" w:hAnsi="宋体" w:cs="宋体"/>
          <w:sz w:val="22"/>
        </w:rPr>
      </w:pPr>
      <w:r>
        <w:rPr>
          <w:rFonts w:hint="eastAsia" w:ascii="宋体" w:hAnsi="宋体" w:cs="宋体"/>
          <w:sz w:val="22"/>
        </w:rPr>
        <w:t xml:space="preserve">    1. 如果合同各方因不可抗力而导致合同实施延误或不能履行合同义务的话，不应该承担误期赔偿或不能履行合同义务的责任。</w:t>
      </w:r>
    </w:p>
    <w:p w14:paraId="711B1001">
      <w:pPr>
        <w:snapToGrid w:val="0"/>
        <w:spacing w:line="400" w:lineRule="atLeast"/>
        <w:rPr>
          <w:rFonts w:ascii="宋体" w:hAnsi="宋体" w:cs="宋体"/>
          <w:sz w:val="22"/>
        </w:rPr>
      </w:pPr>
      <w:r>
        <w:rPr>
          <w:rFonts w:hint="eastAsia" w:ascii="宋体" w:hAnsi="宋体" w:cs="宋体"/>
          <w:sz w:val="22"/>
        </w:rPr>
        <w:t xml:space="preserve">    2. 本条所述的“不可抗力”系指那些</w:t>
      </w:r>
      <w:r>
        <w:rPr>
          <w:rFonts w:hint="eastAsia" w:ascii="宋体" w:hAnsi="宋体" w:cs="宋体"/>
          <w:sz w:val="22"/>
          <w:lang w:val="en-US" w:eastAsia="zh-CN"/>
        </w:rPr>
        <w:t>三</w:t>
      </w:r>
      <w:r>
        <w:rPr>
          <w:rFonts w:hint="eastAsia" w:ascii="宋体" w:hAnsi="宋体" w:cs="宋体"/>
          <w:sz w:val="22"/>
        </w:rPr>
        <w:t>方不可预见、不可避免、不可克服的事件，但不包括</w:t>
      </w:r>
      <w:r>
        <w:rPr>
          <w:rFonts w:hint="eastAsia" w:ascii="宋体" w:hAnsi="宋体" w:cs="宋体"/>
          <w:sz w:val="22"/>
          <w:lang w:val="en-US" w:eastAsia="zh-CN"/>
        </w:rPr>
        <w:t>三</w:t>
      </w:r>
      <w:r>
        <w:rPr>
          <w:rFonts w:hint="eastAsia" w:ascii="宋体" w:hAnsi="宋体" w:cs="宋体"/>
          <w:sz w:val="22"/>
        </w:rPr>
        <w:t>方的违约或疏忽。这些事件包括但不限于：战争、严重火灾、洪水、梅雨、台风、地震、国家政策的重大变化，以及</w:t>
      </w:r>
      <w:r>
        <w:rPr>
          <w:rFonts w:hint="eastAsia" w:ascii="宋体" w:hAnsi="宋体" w:cs="宋体"/>
          <w:sz w:val="22"/>
          <w:lang w:val="en-US" w:eastAsia="zh-CN"/>
        </w:rPr>
        <w:t>三</w:t>
      </w:r>
      <w:r>
        <w:rPr>
          <w:rFonts w:hint="eastAsia" w:ascii="宋体" w:hAnsi="宋体" w:cs="宋体"/>
          <w:sz w:val="22"/>
        </w:rPr>
        <w:t>方商定的其他事件。</w:t>
      </w:r>
    </w:p>
    <w:p w14:paraId="2F5B8B3E">
      <w:pPr>
        <w:snapToGrid w:val="0"/>
        <w:spacing w:line="400" w:lineRule="atLeast"/>
        <w:rPr>
          <w:rFonts w:ascii="宋体" w:hAnsi="宋体" w:cs="宋体"/>
          <w:sz w:val="22"/>
        </w:rPr>
      </w:pPr>
      <w:r>
        <w:rPr>
          <w:rFonts w:hint="eastAsia" w:ascii="宋体" w:hAnsi="宋体" w:cs="宋体"/>
          <w:sz w:val="22"/>
        </w:rPr>
        <w:t xml:space="preserve">    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14:paraId="0C12A1CB">
      <w:pPr>
        <w:snapToGrid w:val="0"/>
        <w:spacing w:line="400" w:lineRule="atLeast"/>
        <w:rPr>
          <w:rFonts w:ascii="宋体" w:hAnsi="宋体" w:cs="宋体"/>
          <w:b/>
          <w:bCs/>
          <w:sz w:val="22"/>
        </w:rPr>
      </w:pPr>
      <w:r>
        <w:rPr>
          <w:rFonts w:hint="eastAsia" w:ascii="宋体" w:hAnsi="宋体" w:cs="宋体"/>
          <w:sz w:val="22"/>
        </w:rPr>
        <w:t>第十五条：争议的解决</w:t>
      </w:r>
    </w:p>
    <w:p w14:paraId="43D5AB81">
      <w:pPr>
        <w:snapToGrid w:val="0"/>
        <w:spacing w:line="400" w:lineRule="atLeast"/>
        <w:ind w:firstLine="480"/>
        <w:rPr>
          <w:rFonts w:ascii="宋体" w:hAnsi="宋体" w:cs="宋体"/>
          <w:b/>
          <w:bCs/>
          <w:sz w:val="22"/>
        </w:rPr>
      </w:pPr>
      <w:r>
        <w:rPr>
          <w:rFonts w:hint="eastAsia" w:ascii="宋体" w:hAnsi="宋体" w:cs="宋体"/>
          <w:sz w:val="22"/>
        </w:rPr>
        <w:t>在发生所供商品的质量、售后服务等问题时，甲方有权直接向乙方索赔，签订必要的书面处理合同。协商不能解决的，任何一方有权在合同签约地选择仲裁或诉讼的途径解决。</w:t>
      </w:r>
    </w:p>
    <w:p w14:paraId="10886141">
      <w:pPr>
        <w:snapToGrid w:val="0"/>
        <w:spacing w:line="400" w:lineRule="atLeast"/>
        <w:rPr>
          <w:rFonts w:ascii="宋体" w:hAnsi="宋体" w:cs="宋体"/>
          <w:sz w:val="22"/>
        </w:rPr>
      </w:pPr>
      <w:r>
        <w:rPr>
          <w:rFonts w:hint="eastAsia" w:ascii="宋体" w:hAnsi="宋体" w:cs="宋体"/>
          <w:sz w:val="22"/>
        </w:rPr>
        <w:t>第十六条：违约处理</w:t>
      </w:r>
    </w:p>
    <w:p w14:paraId="0FD28EA7">
      <w:pPr>
        <w:snapToGrid w:val="0"/>
        <w:spacing w:line="400" w:lineRule="atLeast"/>
        <w:rPr>
          <w:rFonts w:ascii="宋体" w:hAnsi="宋体" w:cs="宋体"/>
          <w:sz w:val="22"/>
        </w:rPr>
      </w:pPr>
      <w:r>
        <w:rPr>
          <w:rFonts w:hint="eastAsia" w:ascii="宋体" w:hAnsi="宋体" w:cs="宋体"/>
          <w:sz w:val="22"/>
        </w:rPr>
        <w:t xml:space="preserve">    1. 在甲方对乙方违约而采取的任何补救措施不受影响的情况下，甲方可在下列情况下向乙方发出书面通知书，提出终止部分或全部合同。</w:t>
      </w:r>
    </w:p>
    <w:p w14:paraId="22815F96">
      <w:pPr>
        <w:snapToGrid w:val="0"/>
        <w:spacing w:line="400" w:lineRule="atLeast"/>
        <w:rPr>
          <w:rFonts w:ascii="宋体" w:hAnsi="宋体" w:cs="宋体"/>
          <w:sz w:val="22"/>
        </w:rPr>
      </w:pPr>
      <w:r>
        <w:rPr>
          <w:rFonts w:hint="eastAsia" w:ascii="宋体" w:hAnsi="宋体" w:cs="宋体"/>
          <w:sz w:val="22"/>
        </w:rPr>
        <w:t xml:space="preserve">   （1）乙方提供的产品质量、配置不符合国家规定和承诺的标准；</w:t>
      </w:r>
    </w:p>
    <w:p w14:paraId="2F58796C">
      <w:pPr>
        <w:snapToGrid w:val="0"/>
        <w:spacing w:line="400" w:lineRule="atLeast"/>
        <w:ind w:firstLine="330" w:firstLineChars="150"/>
        <w:rPr>
          <w:rFonts w:ascii="宋体" w:hAnsi="宋体" w:cs="宋体"/>
          <w:sz w:val="22"/>
        </w:rPr>
      </w:pPr>
      <w:r>
        <w:rPr>
          <w:rFonts w:hint="eastAsia" w:ascii="宋体" w:hAnsi="宋体" w:cs="宋体"/>
          <w:sz w:val="22"/>
        </w:rPr>
        <w:t>（2）乙方没有按承诺的时间供货、维修或提供其他服务；</w:t>
      </w:r>
    </w:p>
    <w:p w14:paraId="0265E92C">
      <w:pPr>
        <w:snapToGrid w:val="0"/>
        <w:spacing w:line="400" w:lineRule="atLeast"/>
        <w:ind w:firstLine="330" w:firstLineChars="150"/>
        <w:rPr>
          <w:rFonts w:ascii="宋体" w:hAnsi="宋体" w:cs="宋体"/>
          <w:sz w:val="22"/>
        </w:rPr>
      </w:pPr>
      <w:r>
        <w:rPr>
          <w:rFonts w:hint="eastAsia" w:ascii="宋体" w:hAnsi="宋体" w:cs="宋体"/>
          <w:sz w:val="22"/>
        </w:rPr>
        <w:t>（3）乙方没有按承诺的价格或优惠率签订合同并供货。</w:t>
      </w:r>
    </w:p>
    <w:p w14:paraId="1D1CE520">
      <w:pPr>
        <w:snapToGrid w:val="0"/>
        <w:spacing w:line="400" w:lineRule="atLeast"/>
        <w:ind w:firstLine="440"/>
        <w:rPr>
          <w:rFonts w:ascii="宋体" w:hAnsi="宋体" w:cs="宋体"/>
          <w:sz w:val="22"/>
        </w:rPr>
      </w:pPr>
      <w:r>
        <w:rPr>
          <w:rFonts w:hint="eastAsia" w:ascii="宋体" w:hAnsi="宋体" w:cs="宋体"/>
          <w:sz w:val="22"/>
        </w:rPr>
        <w:t>2. 如果甲方根据上述的规定，终止了全部或部分合同，甲方可以依其认为适当的条件和方法购买与未交货物类似的货物，乙方应对购买类似货物所超出的那部分费用负责。但是，乙方应继续执行合同中未终止的部分。</w:t>
      </w:r>
    </w:p>
    <w:p w14:paraId="6B395740">
      <w:pPr>
        <w:snapToGrid w:val="0"/>
        <w:spacing w:line="400" w:lineRule="atLeast"/>
        <w:ind w:firstLine="440"/>
        <w:rPr>
          <w:rFonts w:ascii="宋体" w:hAnsi="宋体" w:cs="宋体"/>
          <w:sz w:val="22"/>
        </w:rPr>
      </w:pPr>
      <w:r>
        <w:rPr>
          <w:rFonts w:hint="eastAsia" w:ascii="宋体" w:hAnsi="宋体" w:cs="宋体"/>
          <w:sz w:val="22"/>
        </w:rPr>
        <w:t>3. 乙方未能按照</w:t>
      </w:r>
      <w:r>
        <w:rPr>
          <w:rFonts w:hint="eastAsia" w:ascii="宋体" w:hAnsi="宋体" w:cs="宋体"/>
          <w:sz w:val="22"/>
          <w:lang w:eastAsia="zh-CN"/>
        </w:rPr>
        <w:t>投标（响应）文件</w:t>
      </w:r>
      <w:r>
        <w:rPr>
          <w:rFonts w:hint="eastAsia" w:ascii="宋体" w:hAnsi="宋体" w:cs="宋体"/>
          <w:sz w:val="22"/>
        </w:rPr>
        <w:t>承诺通过验收，造成甲方换货、退货的，可以视为乙方提供虚投标假资料谋求中标(成交)，甲方可以上报财政管理部门，由财政部门予以处理。</w:t>
      </w:r>
    </w:p>
    <w:p w14:paraId="20F5B273">
      <w:pPr>
        <w:snapToGrid w:val="0"/>
        <w:spacing w:line="400" w:lineRule="atLeast"/>
        <w:rPr>
          <w:rFonts w:ascii="宋体" w:hAnsi="宋体" w:cs="宋体"/>
          <w:sz w:val="22"/>
        </w:rPr>
      </w:pPr>
      <w:r>
        <w:rPr>
          <w:rFonts w:hint="eastAsia" w:ascii="宋体" w:hAnsi="宋体" w:cs="宋体"/>
          <w:sz w:val="22"/>
        </w:rPr>
        <w:t>第十七条：合同转让和分包</w:t>
      </w:r>
    </w:p>
    <w:p w14:paraId="10917FD5">
      <w:pPr>
        <w:snapToGrid w:val="0"/>
        <w:spacing w:line="400" w:lineRule="atLeast"/>
        <w:rPr>
          <w:rFonts w:ascii="宋体" w:hAnsi="宋体" w:cs="宋体"/>
          <w:sz w:val="22"/>
        </w:rPr>
      </w:pPr>
      <w:r>
        <w:rPr>
          <w:rFonts w:hint="eastAsia" w:ascii="宋体" w:hAnsi="宋体" w:cs="宋体"/>
          <w:sz w:val="22"/>
        </w:rPr>
        <w:t xml:space="preserve">    除甲方事先书面同意外，乙方不得转让和分包其应履行的合同义务。</w:t>
      </w:r>
    </w:p>
    <w:p w14:paraId="2939BF19">
      <w:pPr>
        <w:snapToGrid w:val="0"/>
        <w:spacing w:line="400" w:lineRule="atLeast"/>
        <w:rPr>
          <w:rFonts w:ascii="宋体" w:hAnsi="宋体" w:cs="宋体"/>
          <w:sz w:val="22"/>
        </w:rPr>
      </w:pPr>
      <w:r>
        <w:rPr>
          <w:rFonts w:hint="eastAsia" w:ascii="宋体" w:hAnsi="宋体" w:cs="宋体"/>
          <w:sz w:val="22"/>
        </w:rPr>
        <w:t>第十八条：合同生效</w:t>
      </w:r>
    </w:p>
    <w:p w14:paraId="4BB7E97C">
      <w:pPr>
        <w:snapToGrid w:val="0"/>
        <w:spacing w:line="400" w:lineRule="atLeast"/>
        <w:ind w:firstLine="480"/>
        <w:rPr>
          <w:rFonts w:ascii="宋体" w:hAnsi="宋体" w:cs="宋体"/>
          <w:b/>
          <w:bCs/>
          <w:sz w:val="22"/>
        </w:rPr>
      </w:pPr>
      <w:r>
        <w:rPr>
          <w:rFonts w:hint="eastAsia" w:ascii="宋体" w:hAnsi="宋体" w:cs="宋体"/>
          <w:sz w:val="22"/>
        </w:rPr>
        <w:t>1. 如上述文件与本合同有不符之处，以有利于甲方的为准。</w:t>
      </w:r>
    </w:p>
    <w:p w14:paraId="083A6997">
      <w:pPr>
        <w:snapToGrid w:val="0"/>
        <w:spacing w:line="400" w:lineRule="atLeast"/>
        <w:ind w:firstLine="480"/>
        <w:rPr>
          <w:rFonts w:ascii="宋体" w:hAnsi="宋体" w:cs="宋体"/>
          <w:b/>
          <w:bCs/>
          <w:sz w:val="22"/>
        </w:rPr>
      </w:pPr>
      <w:r>
        <w:rPr>
          <w:rFonts w:hint="eastAsia" w:ascii="宋体" w:hAnsi="宋体" w:cs="宋体"/>
          <w:sz w:val="22"/>
        </w:rPr>
        <w:t>2. 本合同在甲方收到乙方提交的履约保证金后，</w:t>
      </w:r>
      <w:r>
        <w:rPr>
          <w:rFonts w:hint="eastAsia" w:ascii="宋体" w:hAnsi="宋体" w:cs="宋体"/>
          <w:sz w:val="22"/>
          <w:lang w:val="en-US" w:eastAsia="zh-CN"/>
        </w:rPr>
        <w:t>三</w:t>
      </w:r>
      <w:r>
        <w:rPr>
          <w:rFonts w:hint="eastAsia" w:ascii="宋体" w:hAnsi="宋体" w:cs="宋体"/>
          <w:sz w:val="22"/>
        </w:rPr>
        <w:t>方法定代表人或授权代表签署并加盖印章后生效。</w:t>
      </w:r>
    </w:p>
    <w:p w14:paraId="65430FF6">
      <w:pPr>
        <w:snapToGrid w:val="0"/>
        <w:spacing w:line="400" w:lineRule="atLeast"/>
        <w:rPr>
          <w:rFonts w:ascii="宋体" w:hAnsi="宋体" w:cs="宋体"/>
          <w:sz w:val="22"/>
        </w:rPr>
      </w:pPr>
      <w:r>
        <w:rPr>
          <w:rFonts w:hint="eastAsia" w:ascii="宋体" w:hAnsi="宋体" w:cs="宋体"/>
          <w:sz w:val="22"/>
        </w:rPr>
        <w:t>第十九条：合同修改</w:t>
      </w:r>
    </w:p>
    <w:p w14:paraId="6CD1C16E">
      <w:pPr>
        <w:snapToGrid w:val="0"/>
        <w:spacing w:line="400" w:lineRule="atLeast"/>
        <w:ind w:firstLine="480"/>
        <w:rPr>
          <w:rFonts w:ascii="宋体" w:hAnsi="宋体" w:cs="宋体"/>
          <w:sz w:val="22"/>
        </w:rPr>
      </w:pPr>
      <w:r>
        <w:rPr>
          <w:rFonts w:hint="eastAsia" w:ascii="宋体" w:hAnsi="宋体" w:cs="宋体"/>
          <w:sz w:val="22"/>
        </w:rPr>
        <w:t>除了</w:t>
      </w:r>
      <w:r>
        <w:rPr>
          <w:rFonts w:hint="eastAsia" w:ascii="宋体" w:hAnsi="宋体" w:cs="宋体"/>
          <w:sz w:val="22"/>
          <w:lang w:val="en-US" w:eastAsia="zh-CN"/>
        </w:rPr>
        <w:t>三</w:t>
      </w:r>
      <w:r>
        <w:rPr>
          <w:rFonts w:hint="eastAsia" w:ascii="宋体" w:hAnsi="宋体" w:cs="宋体"/>
          <w:sz w:val="22"/>
        </w:rPr>
        <w:t>方签署书面修改合同，并成为本合同不可分割的一部分之外，本合同条件不得有任何变化或修改。</w:t>
      </w:r>
    </w:p>
    <w:p w14:paraId="269E1A69">
      <w:pPr>
        <w:snapToGrid w:val="0"/>
        <w:spacing w:line="400" w:lineRule="atLeast"/>
        <w:rPr>
          <w:rFonts w:ascii="宋体" w:hAnsi="宋体" w:cs="宋体"/>
          <w:b/>
          <w:bCs/>
          <w:sz w:val="22"/>
        </w:rPr>
      </w:pPr>
      <w:r>
        <w:rPr>
          <w:rFonts w:hint="eastAsia" w:ascii="宋体" w:hAnsi="宋体" w:cs="宋体"/>
          <w:sz w:val="22"/>
        </w:rPr>
        <w:t>第二十条 合同附件</w:t>
      </w:r>
    </w:p>
    <w:p w14:paraId="3CBAE431">
      <w:pPr>
        <w:snapToGrid w:val="0"/>
        <w:spacing w:line="400" w:lineRule="atLeast"/>
        <w:rPr>
          <w:rFonts w:ascii="宋体" w:hAnsi="宋体" w:cs="宋体"/>
          <w:sz w:val="22"/>
        </w:rPr>
      </w:pPr>
      <w:r>
        <w:rPr>
          <w:rFonts w:hint="eastAsia" w:ascii="宋体" w:hAnsi="宋体" w:cs="宋体"/>
          <w:sz w:val="22"/>
        </w:rPr>
        <w:t xml:space="preserve">    下列文件与本合同具有同等法律效力：</w:t>
      </w:r>
    </w:p>
    <w:p w14:paraId="086A78A7">
      <w:pPr>
        <w:snapToGrid w:val="0"/>
        <w:spacing w:line="400" w:lineRule="atLeast"/>
        <w:ind w:firstLine="431" w:firstLineChars="196"/>
        <w:rPr>
          <w:rFonts w:ascii="宋体" w:hAnsi="宋体" w:cs="宋体"/>
          <w:sz w:val="22"/>
        </w:rPr>
      </w:pPr>
      <w:r>
        <w:rPr>
          <w:rFonts w:hint="eastAsia" w:ascii="宋体" w:hAnsi="宋体" w:cs="宋体"/>
          <w:sz w:val="22"/>
        </w:rPr>
        <w:t xml:space="preserve">1. </w:t>
      </w:r>
      <w:r>
        <w:rPr>
          <w:rFonts w:hint="eastAsia" w:ascii="宋体" w:hAnsi="宋体" w:cs="宋体"/>
          <w:sz w:val="22"/>
          <w:lang w:val="en-US" w:eastAsia="zh-CN"/>
        </w:rPr>
        <w:t>采购文件</w:t>
      </w:r>
      <w:r>
        <w:rPr>
          <w:rFonts w:hint="eastAsia" w:ascii="宋体" w:hAnsi="宋体" w:cs="宋体"/>
          <w:sz w:val="22"/>
        </w:rPr>
        <w:t>与招标补充文件；</w:t>
      </w:r>
    </w:p>
    <w:p w14:paraId="433BFC8E">
      <w:pPr>
        <w:snapToGrid w:val="0"/>
        <w:spacing w:line="400" w:lineRule="atLeast"/>
        <w:ind w:firstLine="431" w:firstLineChars="196"/>
        <w:rPr>
          <w:rFonts w:ascii="宋体" w:hAnsi="宋体" w:cs="宋体"/>
          <w:sz w:val="22"/>
        </w:rPr>
      </w:pPr>
      <w:r>
        <w:rPr>
          <w:rFonts w:hint="eastAsia" w:ascii="宋体" w:hAnsi="宋体" w:cs="宋体"/>
          <w:sz w:val="22"/>
        </w:rPr>
        <w:t xml:space="preserve">2. </w:t>
      </w:r>
      <w:r>
        <w:rPr>
          <w:rFonts w:hint="eastAsia" w:ascii="宋体" w:hAnsi="宋体" w:cs="宋体"/>
          <w:sz w:val="22"/>
          <w:lang w:eastAsia="zh-CN"/>
        </w:rPr>
        <w:t>投标（响应）文件</w:t>
      </w:r>
      <w:r>
        <w:rPr>
          <w:rFonts w:hint="eastAsia" w:ascii="宋体" w:hAnsi="宋体" w:cs="宋体"/>
          <w:sz w:val="22"/>
        </w:rPr>
        <w:t>；</w:t>
      </w:r>
    </w:p>
    <w:p w14:paraId="1196B4BB">
      <w:pPr>
        <w:snapToGrid w:val="0"/>
        <w:spacing w:line="400" w:lineRule="atLeast"/>
        <w:ind w:firstLine="431" w:firstLineChars="196"/>
        <w:rPr>
          <w:rFonts w:ascii="宋体" w:hAnsi="宋体" w:cs="宋体"/>
          <w:sz w:val="22"/>
        </w:rPr>
      </w:pPr>
      <w:r>
        <w:rPr>
          <w:rFonts w:hint="eastAsia" w:ascii="宋体" w:hAnsi="宋体" w:cs="宋体"/>
          <w:sz w:val="22"/>
        </w:rPr>
        <w:t>3. 询标纪要和承诺书；</w:t>
      </w:r>
    </w:p>
    <w:p w14:paraId="310ECE97">
      <w:pPr>
        <w:snapToGrid w:val="0"/>
        <w:spacing w:line="400" w:lineRule="atLeast"/>
        <w:ind w:left="445" w:leftChars="208" w:hanging="8" w:hangingChars="4"/>
        <w:rPr>
          <w:rFonts w:ascii="宋体" w:hAnsi="宋体" w:cs="宋体"/>
          <w:sz w:val="22"/>
        </w:rPr>
      </w:pPr>
      <w:r>
        <w:rPr>
          <w:rFonts w:hint="eastAsia" w:ascii="宋体" w:hAnsi="宋体" w:cs="宋体"/>
          <w:sz w:val="22"/>
        </w:rPr>
        <w:t>4. 中标(成交)通知书。</w:t>
      </w:r>
      <w:r>
        <w:rPr>
          <w:rFonts w:hint="eastAsia" w:ascii="宋体" w:hAnsi="宋体" w:cs="宋体"/>
          <w:sz w:val="22"/>
        </w:rPr>
        <w:br w:type="textWrapping"/>
      </w:r>
    </w:p>
    <w:p w14:paraId="7E9FB93F">
      <w:pPr>
        <w:snapToGrid w:val="0"/>
        <w:spacing w:line="400" w:lineRule="atLeast"/>
        <w:ind w:firstLine="440" w:firstLineChars="200"/>
        <w:rPr>
          <w:rFonts w:ascii="宋体" w:hAnsi="宋体" w:cs="宋体"/>
          <w:sz w:val="22"/>
        </w:rPr>
      </w:pPr>
    </w:p>
    <w:p w14:paraId="42C06258">
      <w:pPr>
        <w:spacing w:line="400" w:lineRule="atLeast"/>
        <w:rPr>
          <w:rFonts w:ascii="宋体" w:hAnsi="宋体" w:cs="宋体"/>
          <w:b/>
          <w:bCs/>
          <w:sz w:val="22"/>
        </w:rPr>
      </w:pPr>
      <w:r>
        <w:rPr>
          <w:rFonts w:hint="eastAsia" w:ascii="宋体" w:hAnsi="宋体" w:cs="宋体"/>
          <w:sz w:val="22"/>
        </w:rPr>
        <w:t>甲方(盖章)：                              乙方（盖章）</w:t>
      </w:r>
    </w:p>
    <w:p w14:paraId="6243112D">
      <w:pPr>
        <w:spacing w:line="400" w:lineRule="atLeast"/>
        <w:rPr>
          <w:rFonts w:ascii="宋体" w:hAnsi="宋体" w:cs="宋体"/>
          <w:b/>
          <w:bCs/>
          <w:sz w:val="22"/>
        </w:rPr>
      </w:pPr>
      <w:r>
        <w:rPr>
          <w:rFonts w:hint="eastAsia" w:ascii="宋体" w:hAnsi="宋体" w:cs="宋体"/>
          <w:sz w:val="22"/>
        </w:rPr>
        <w:t>法定代表人：                              法定代表人：</w:t>
      </w:r>
    </w:p>
    <w:p w14:paraId="382FEC39">
      <w:pPr>
        <w:spacing w:line="400" w:lineRule="atLeast"/>
        <w:rPr>
          <w:rFonts w:ascii="宋体" w:hAnsi="宋体" w:cs="宋体"/>
          <w:b/>
          <w:bCs/>
          <w:sz w:val="22"/>
        </w:rPr>
      </w:pPr>
      <w:r>
        <w:rPr>
          <w:rFonts w:hint="eastAsia" w:ascii="宋体" w:hAnsi="宋体" w:cs="宋体"/>
          <w:sz w:val="22"/>
        </w:rPr>
        <w:t>开户银行：                                开户银行：</w:t>
      </w:r>
    </w:p>
    <w:p w14:paraId="7A5499AC">
      <w:pPr>
        <w:spacing w:line="400" w:lineRule="atLeast"/>
        <w:rPr>
          <w:rFonts w:ascii="宋体" w:hAnsi="宋体" w:cs="宋体"/>
          <w:b/>
          <w:bCs/>
          <w:sz w:val="22"/>
        </w:rPr>
      </w:pPr>
      <w:r>
        <w:rPr>
          <w:rFonts w:hint="eastAsia" w:ascii="宋体" w:hAnsi="宋体" w:cs="宋体"/>
          <w:sz w:val="22"/>
        </w:rPr>
        <w:t>开户名称：                                开户名称：</w:t>
      </w:r>
    </w:p>
    <w:p w14:paraId="35EF6A73">
      <w:pPr>
        <w:spacing w:line="400" w:lineRule="atLeast"/>
        <w:rPr>
          <w:rFonts w:ascii="宋体" w:hAnsi="宋体" w:cs="宋体"/>
          <w:b/>
          <w:bCs/>
          <w:sz w:val="22"/>
        </w:rPr>
      </w:pPr>
      <w:r>
        <w:rPr>
          <w:rFonts w:hint="eastAsia" w:ascii="宋体" w:hAnsi="宋体" w:cs="宋体"/>
          <w:sz w:val="22"/>
        </w:rPr>
        <w:t>账号：                                     账号：</w:t>
      </w:r>
    </w:p>
    <w:p w14:paraId="4738308C">
      <w:pPr>
        <w:spacing w:line="400" w:lineRule="atLeast"/>
        <w:rPr>
          <w:rFonts w:ascii="宋体" w:hAnsi="宋体" w:cs="宋体"/>
          <w:b/>
          <w:bCs/>
          <w:sz w:val="22"/>
        </w:rPr>
      </w:pPr>
      <w:r>
        <w:rPr>
          <w:rFonts w:hint="eastAsia" w:ascii="宋体" w:hAnsi="宋体" w:cs="宋体"/>
          <w:sz w:val="22"/>
        </w:rPr>
        <w:t>签约日期：                                 签约地点：</w:t>
      </w:r>
    </w:p>
    <w:p w14:paraId="08EDAA3A">
      <w:pPr>
        <w:spacing w:line="400" w:lineRule="atLeast"/>
        <w:rPr>
          <w:rFonts w:hint="eastAsia" w:ascii="宋体" w:hAnsi="宋体" w:cs="宋体"/>
          <w:sz w:val="22"/>
          <w:lang w:val="en-US" w:eastAsia="zh-CN"/>
        </w:rPr>
      </w:pPr>
    </w:p>
    <w:p w14:paraId="3FFE138A">
      <w:pPr>
        <w:spacing w:line="400" w:lineRule="atLeast"/>
        <w:rPr>
          <w:rFonts w:hint="eastAsia" w:ascii="宋体" w:hAnsi="宋体" w:cs="宋体"/>
          <w:sz w:val="22"/>
          <w:lang w:val="en-US" w:eastAsia="zh-CN"/>
        </w:rPr>
      </w:pPr>
    </w:p>
    <w:p w14:paraId="71166ECC">
      <w:pPr>
        <w:spacing w:line="400" w:lineRule="atLeast"/>
        <w:rPr>
          <w:rFonts w:ascii="宋体" w:hAnsi="宋体" w:cs="宋体"/>
          <w:b/>
          <w:bCs/>
          <w:sz w:val="22"/>
        </w:rPr>
      </w:pPr>
      <w:r>
        <w:rPr>
          <w:rFonts w:hint="eastAsia" w:ascii="宋体" w:hAnsi="宋体" w:cs="宋体"/>
          <w:sz w:val="22"/>
          <w:lang w:val="en-US" w:eastAsia="zh-CN"/>
        </w:rPr>
        <w:t>丙方</w:t>
      </w:r>
      <w:r>
        <w:rPr>
          <w:rFonts w:hint="eastAsia" w:ascii="宋体" w:hAnsi="宋体" w:cs="宋体"/>
          <w:sz w:val="22"/>
        </w:rPr>
        <w:t xml:space="preserve">(盖章)：                             </w:t>
      </w:r>
    </w:p>
    <w:p w14:paraId="58C4BBD0">
      <w:pPr>
        <w:spacing w:line="400" w:lineRule="atLeast"/>
        <w:rPr>
          <w:rFonts w:ascii="宋体" w:hAnsi="宋体" w:cs="宋体"/>
          <w:b/>
          <w:bCs/>
          <w:sz w:val="22"/>
        </w:rPr>
      </w:pPr>
      <w:r>
        <w:rPr>
          <w:rFonts w:hint="eastAsia" w:ascii="宋体" w:hAnsi="宋体" w:cs="宋体"/>
          <w:sz w:val="22"/>
        </w:rPr>
        <w:t xml:space="preserve">法定代表人：                              </w:t>
      </w:r>
    </w:p>
    <w:p w14:paraId="0523F599">
      <w:pPr>
        <w:spacing w:line="400" w:lineRule="atLeast"/>
        <w:rPr>
          <w:rFonts w:ascii="宋体" w:hAnsi="宋体" w:cs="宋体"/>
          <w:b/>
          <w:bCs/>
          <w:sz w:val="22"/>
        </w:rPr>
      </w:pPr>
      <w:r>
        <w:rPr>
          <w:rFonts w:hint="eastAsia" w:ascii="宋体" w:hAnsi="宋体" w:cs="宋体"/>
          <w:sz w:val="22"/>
        </w:rPr>
        <w:t xml:space="preserve">开户银行：                                </w:t>
      </w:r>
    </w:p>
    <w:p w14:paraId="5A518F5A">
      <w:pPr>
        <w:spacing w:line="400" w:lineRule="atLeast"/>
        <w:rPr>
          <w:rFonts w:ascii="宋体" w:hAnsi="宋体" w:cs="宋体"/>
          <w:b/>
          <w:bCs/>
          <w:sz w:val="22"/>
        </w:rPr>
      </w:pPr>
      <w:r>
        <w:rPr>
          <w:rFonts w:hint="eastAsia" w:ascii="宋体" w:hAnsi="宋体" w:cs="宋体"/>
          <w:sz w:val="22"/>
        </w:rPr>
        <w:t xml:space="preserve">开户名称：                               </w:t>
      </w:r>
    </w:p>
    <w:p w14:paraId="09A5B38A">
      <w:pPr>
        <w:spacing w:line="400" w:lineRule="atLeast"/>
        <w:rPr>
          <w:rFonts w:ascii="宋体" w:hAnsi="宋体" w:cs="宋体"/>
          <w:b/>
          <w:bCs/>
          <w:sz w:val="22"/>
        </w:rPr>
      </w:pPr>
      <w:r>
        <w:rPr>
          <w:rFonts w:hint="eastAsia" w:ascii="宋体" w:hAnsi="宋体" w:cs="宋体"/>
          <w:sz w:val="22"/>
        </w:rPr>
        <w:t xml:space="preserve">账号：                                    </w:t>
      </w:r>
    </w:p>
    <w:p w14:paraId="5F71065C">
      <w:pPr>
        <w:spacing w:line="380" w:lineRule="exact"/>
        <w:rPr>
          <w:rFonts w:ascii="宋体" w:hAnsi="宋体" w:cs="宋体"/>
          <w:b/>
          <w:bCs/>
          <w:sz w:val="22"/>
        </w:rPr>
      </w:pPr>
      <w:r>
        <w:rPr>
          <w:rFonts w:hint="eastAsia" w:ascii="宋体" w:hAnsi="宋体" w:cs="宋体"/>
          <w:sz w:val="22"/>
        </w:rPr>
        <w:t xml:space="preserve">签约日期： </w:t>
      </w:r>
    </w:p>
    <w:p w14:paraId="30965044">
      <w:pPr>
        <w:keepNext w:val="0"/>
        <w:keepLines w:val="0"/>
        <w:pageBreakBefore w:val="0"/>
        <w:widowControl w:val="0"/>
        <w:kinsoku/>
        <w:wordWrap/>
        <w:overflowPunct/>
        <w:topLinePunct w:val="0"/>
        <w:autoSpaceDE/>
        <w:autoSpaceDN/>
        <w:bidi w:val="0"/>
        <w:adjustRightInd/>
        <w:snapToGrid w:val="0"/>
        <w:spacing w:line="500" w:lineRule="atLeast"/>
        <w:ind w:firstLine="433" w:firstLineChars="196"/>
        <w:textAlignment w:val="auto"/>
        <w:rPr>
          <w:rFonts w:hint="eastAsia" w:ascii="宋体" w:hAnsi="宋体" w:eastAsia="宋体" w:cs="宋体"/>
          <w:b/>
          <w:bCs/>
          <w:sz w:val="22"/>
          <w:u w:val="single"/>
        </w:rPr>
        <w:sectPr>
          <w:pgSz w:w="11906" w:h="16838"/>
          <w:pgMar w:top="760" w:right="1080" w:bottom="590" w:left="1080" w:header="510" w:footer="624"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bCs/>
          <w:sz w:val="22"/>
          <w:u w:val="single"/>
        </w:rPr>
        <w:t>注：本合同作为示范文本，具体以正式</w:t>
      </w:r>
      <w:r>
        <w:rPr>
          <w:rFonts w:hint="eastAsia" w:ascii="宋体" w:hAnsi="宋体" w:eastAsia="宋体" w:cs="宋体"/>
          <w:b/>
          <w:bCs/>
          <w:sz w:val="22"/>
          <w:u w:val="single"/>
          <w:lang w:val="en-US" w:eastAsia="zh-CN"/>
        </w:rPr>
        <w:t>签订</w:t>
      </w:r>
      <w:r>
        <w:rPr>
          <w:rFonts w:hint="eastAsia" w:ascii="宋体" w:hAnsi="宋体" w:eastAsia="宋体" w:cs="宋体"/>
          <w:b/>
          <w:bCs/>
          <w:sz w:val="22"/>
          <w:u w:val="single"/>
        </w:rPr>
        <w:t>合同为准。</w:t>
      </w:r>
    </w:p>
    <w:p w14:paraId="2199B10F">
      <w:pPr>
        <w:pStyle w:val="36"/>
        <w:jc w:val="center"/>
        <w:rPr>
          <w:rFonts w:hint="eastAsia" w:ascii="宋体" w:hAnsi="宋体"/>
          <w:color w:val="auto"/>
          <w:kern w:val="2"/>
          <w:sz w:val="36"/>
          <w:szCs w:val="36"/>
          <w:highlight w:val="none"/>
          <w:lang w:val="zh-CN"/>
        </w:rPr>
      </w:pPr>
      <w:r>
        <w:rPr>
          <w:rFonts w:hint="eastAsia" w:ascii="宋体" w:hAnsi="宋体"/>
          <w:color w:val="auto"/>
          <w:kern w:val="2"/>
          <w:sz w:val="36"/>
          <w:szCs w:val="36"/>
          <w:highlight w:val="none"/>
          <w:lang w:val="zh-CN"/>
        </w:rPr>
        <w:t>第六部分</w:t>
      </w:r>
      <w:r>
        <w:rPr>
          <w:rFonts w:ascii="宋体" w:hAnsi="宋体"/>
          <w:color w:val="auto"/>
          <w:kern w:val="2"/>
          <w:sz w:val="36"/>
          <w:szCs w:val="36"/>
          <w:highlight w:val="none"/>
          <w:lang w:val="zh-CN"/>
        </w:rPr>
        <w:t xml:space="preserve"> </w:t>
      </w:r>
      <w:r>
        <w:rPr>
          <w:rFonts w:hint="eastAsia" w:ascii="宋体" w:hAnsi="宋体"/>
          <w:color w:val="auto"/>
          <w:kern w:val="2"/>
          <w:sz w:val="36"/>
          <w:szCs w:val="36"/>
          <w:highlight w:val="none"/>
          <w:lang w:val="zh-CN"/>
        </w:rPr>
        <w:t>投标文件格式</w:t>
      </w:r>
    </w:p>
    <w:p w14:paraId="50B6E727">
      <w:pPr>
        <w:tabs>
          <w:tab w:val="left" w:pos="1069"/>
          <w:tab w:val="left" w:pos="2352"/>
        </w:tabs>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zh-CN"/>
        </w:rPr>
        <w:t>一、</w:t>
      </w: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部分投标文件格式</w:t>
      </w:r>
    </w:p>
    <w:p w14:paraId="48A8F69D">
      <w:pPr>
        <w:pStyle w:val="14"/>
        <w:tabs>
          <w:tab w:val="left" w:pos="1069"/>
          <w:tab w:val="left" w:pos="2352"/>
        </w:tabs>
        <w:rPr>
          <w:rFonts w:ascii="宋体" w:hAnsi="宋体" w:cs="宋体"/>
          <w:color w:val="auto"/>
          <w:sz w:val="22"/>
          <w:szCs w:val="22"/>
          <w:highlight w:val="none"/>
        </w:rPr>
      </w:pP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部分投标文件</w:t>
      </w:r>
      <w:r>
        <w:rPr>
          <w:rFonts w:hint="eastAsia" w:ascii="宋体" w:hAnsi="宋体" w:cs="宋体"/>
          <w:color w:val="auto"/>
          <w:sz w:val="22"/>
          <w:szCs w:val="22"/>
          <w:highlight w:val="none"/>
        </w:rPr>
        <w:t>封面参考：</w:t>
      </w:r>
    </w:p>
    <w:p w14:paraId="0BB10E16">
      <w:pPr>
        <w:tabs>
          <w:tab w:val="left" w:pos="1069"/>
          <w:tab w:val="left" w:pos="2352"/>
        </w:tabs>
        <w:snapToGrid w:val="0"/>
        <w:spacing w:line="440" w:lineRule="exact"/>
        <w:jc w:val="center"/>
        <w:rPr>
          <w:rFonts w:ascii="宋体" w:hAnsi="宋体" w:cs="宋体"/>
          <w:b/>
          <w:color w:val="auto"/>
          <w:sz w:val="32"/>
          <w:szCs w:val="32"/>
          <w:highlight w:val="none"/>
        </w:rPr>
      </w:pPr>
    </w:p>
    <w:p w14:paraId="1178107F">
      <w:pPr>
        <w:tabs>
          <w:tab w:val="left" w:pos="1069"/>
          <w:tab w:val="left" w:pos="2352"/>
        </w:tabs>
        <w:spacing w:line="480" w:lineRule="auto"/>
        <w:jc w:val="center"/>
        <w:rPr>
          <w:rFonts w:hint="eastAsia" w:ascii="宋体" w:hAnsi="宋体" w:eastAsia="宋体" w:cs="宋体"/>
          <w:b/>
          <w:color w:val="auto"/>
          <w:sz w:val="60"/>
          <w:szCs w:val="60"/>
          <w:highlight w:val="none"/>
          <w:lang w:eastAsia="zh-CN"/>
        </w:rPr>
      </w:pPr>
      <w:r>
        <w:rPr>
          <w:rFonts w:hint="eastAsia" w:ascii="宋体" w:hAnsi="宋体" w:cs="宋体"/>
          <w:b/>
          <w:color w:val="auto"/>
          <w:sz w:val="60"/>
          <w:szCs w:val="60"/>
          <w:highlight w:val="none"/>
          <w:lang w:eastAsia="zh-CN"/>
        </w:rPr>
        <w:t>龟湖镇水厂备用水源工程设备采购</w:t>
      </w:r>
    </w:p>
    <w:p w14:paraId="46049DDC">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6A6E71A7">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2D91B7E6">
      <w:pPr>
        <w:tabs>
          <w:tab w:val="left" w:pos="1069"/>
          <w:tab w:val="left" w:pos="2352"/>
        </w:tabs>
        <w:snapToGrid w:val="0"/>
        <w:spacing w:line="600" w:lineRule="atLeast"/>
        <w:ind w:firstLine="1044" w:firstLineChars="400"/>
        <w:rPr>
          <w:rFonts w:ascii="宋体" w:hAnsi="宋体" w:cs="宋体"/>
          <w:b/>
          <w:color w:val="auto"/>
          <w:sz w:val="26"/>
          <w:szCs w:val="26"/>
          <w:highlight w:val="none"/>
        </w:rPr>
      </w:pPr>
    </w:p>
    <w:p w14:paraId="11B99CBA">
      <w:pPr>
        <w:tabs>
          <w:tab w:val="left" w:pos="1069"/>
          <w:tab w:val="left" w:pos="2352"/>
        </w:tabs>
        <w:snapToGrid w:val="0"/>
        <w:spacing w:line="600" w:lineRule="atLeast"/>
        <w:ind w:firstLine="1044" w:firstLineChars="400"/>
        <w:rPr>
          <w:rFonts w:ascii="宋体" w:hAnsi="宋体" w:cs="宋体"/>
          <w:b/>
          <w:color w:val="auto"/>
          <w:sz w:val="26"/>
          <w:szCs w:val="26"/>
          <w:highlight w:val="none"/>
        </w:rPr>
      </w:pPr>
    </w:p>
    <w:tbl>
      <w:tblPr>
        <w:tblStyle w:val="38"/>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6FE60C4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val="0"/>
            <w:vAlign w:val="top"/>
          </w:tcPr>
          <w:p w14:paraId="6E33A361">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p>
        </w:tc>
      </w:tr>
      <w:tr w14:paraId="30CF4A4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val="0"/>
            <w:vAlign w:val="top"/>
          </w:tcPr>
          <w:p w14:paraId="4A2D82D0">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p>
        </w:tc>
      </w:tr>
      <w:tr w14:paraId="13FB094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val="0"/>
            <w:vAlign w:val="top"/>
          </w:tcPr>
          <w:p w14:paraId="6C9B6271">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p>
        </w:tc>
      </w:tr>
      <w:tr w14:paraId="6E48B96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val="0"/>
            <w:vAlign w:val="top"/>
          </w:tcPr>
          <w:p w14:paraId="0978B9E7">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2C9BAE1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val="0"/>
            <w:vAlign w:val="top"/>
          </w:tcPr>
          <w:p w14:paraId="0E8FB1B4">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0D5BEDF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val="0"/>
            <w:vAlign w:val="top"/>
          </w:tcPr>
          <w:p w14:paraId="110A0722">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04F4A599">
      <w:pPr>
        <w:pStyle w:val="19"/>
        <w:adjustRightInd w:val="0"/>
        <w:snapToGrid w:val="0"/>
        <w:spacing w:line="340" w:lineRule="atLeast"/>
        <w:rPr>
          <w:rFonts w:hint="eastAsia" w:hAnsi="宋体"/>
          <w:b/>
          <w:bCs/>
          <w:color w:val="auto"/>
          <w:sz w:val="32"/>
          <w:szCs w:val="32"/>
          <w:highlight w:val="none"/>
        </w:rPr>
      </w:pPr>
    </w:p>
    <w:p w14:paraId="2EC59703">
      <w:pPr>
        <w:pStyle w:val="19"/>
        <w:adjustRightInd w:val="0"/>
        <w:snapToGrid w:val="0"/>
        <w:spacing w:line="340" w:lineRule="atLeast"/>
        <w:rPr>
          <w:rFonts w:hint="eastAsia" w:hAnsi="宋体"/>
          <w:b/>
          <w:bCs/>
          <w:color w:val="auto"/>
          <w:sz w:val="32"/>
          <w:szCs w:val="32"/>
          <w:highlight w:val="none"/>
        </w:rPr>
      </w:pPr>
    </w:p>
    <w:p w14:paraId="6A5D0076">
      <w:pPr>
        <w:pStyle w:val="19"/>
        <w:adjustRightInd w:val="0"/>
        <w:snapToGrid w:val="0"/>
        <w:spacing w:line="340" w:lineRule="atLeast"/>
        <w:rPr>
          <w:rFonts w:hint="eastAsia" w:hAnsi="宋体"/>
          <w:b/>
          <w:bCs/>
          <w:color w:val="auto"/>
          <w:sz w:val="32"/>
          <w:szCs w:val="32"/>
          <w:highlight w:val="none"/>
        </w:rPr>
      </w:pPr>
    </w:p>
    <w:p w14:paraId="488B7498">
      <w:pPr>
        <w:pStyle w:val="19"/>
        <w:adjustRightInd w:val="0"/>
        <w:snapToGrid w:val="0"/>
        <w:spacing w:line="340" w:lineRule="atLeast"/>
        <w:rPr>
          <w:rFonts w:hint="eastAsia" w:hAnsi="宋体"/>
          <w:b/>
          <w:bCs/>
          <w:color w:val="auto"/>
          <w:sz w:val="32"/>
          <w:szCs w:val="32"/>
          <w:highlight w:val="none"/>
        </w:rPr>
      </w:pPr>
    </w:p>
    <w:p w14:paraId="247A10E0">
      <w:pPr>
        <w:pStyle w:val="19"/>
        <w:adjustRightInd w:val="0"/>
        <w:snapToGrid w:val="0"/>
        <w:spacing w:line="340" w:lineRule="atLeast"/>
        <w:rPr>
          <w:rFonts w:hint="eastAsia" w:hAnsi="宋体"/>
          <w:b/>
          <w:bCs/>
          <w:color w:val="auto"/>
          <w:sz w:val="32"/>
          <w:szCs w:val="32"/>
          <w:highlight w:val="none"/>
        </w:rPr>
      </w:pPr>
    </w:p>
    <w:p w14:paraId="202CC366">
      <w:pPr>
        <w:pStyle w:val="19"/>
        <w:adjustRightInd w:val="0"/>
        <w:snapToGrid w:val="0"/>
        <w:spacing w:line="340" w:lineRule="atLeast"/>
        <w:rPr>
          <w:rFonts w:hint="eastAsia" w:hAnsi="宋体"/>
          <w:b/>
          <w:bCs/>
          <w:color w:val="auto"/>
          <w:sz w:val="32"/>
          <w:szCs w:val="32"/>
          <w:highlight w:val="none"/>
        </w:rPr>
      </w:pPr>
    </w:p>
    <w:p w14:paraId="6175FADA">
      <w:pPr>
        <w:pStyle w:val="19"/>
        <w:adjustRightInd w:val="0"/>
        <w:snapToGrid w:val="0"/>
        <w:spacing w:line="340" w:lineRule="atLeast"/>
        <w:rPr>
          <w:rFonts w:hint="eastAsia" w:hAnsi="宋体"/>
          <w:b/>
          <w:bCs/>
          <w:color w:val="auto"/>
          <w:sz w:val="32"/>
          <w:szCs w:val="32"/>
          <w:highlight w:val="none"/>
        </w:rPr>
      </w:pPr>
    </w:p>
    <w:p w14:paraId="17146D63">
      <w:pPr>
        <w:pStyle w:val="19"/>
        <w:adjustRightInd w:val="0"/>
        <w:snapToGrid w:val="0"/>
        <w:spacing w:line="340" w:lineRule="atLeast"/>
        <w:rPr>
          <w:rFonts w:hint="eastAsia" w:hAnsi="宋体"/>
          <w:color w:val="auto"/>
          <w:sz w:val="32"/>
          <w:szCs w:val="32"/>
          <w:highlight w:val="none"/>
        </w:rPr>
      </w:pPr>
      <w:r>
        <w:rPr>
          <w:rFonts w:hint="eastAsia" w:hAnsi="宋体"/>
          <w:b/>
          <w:bCs/>
          <w:color w:val="auto"/>
          <w:sz w:val="32"/>
          <w:szCs w:val="32"/>
          <w:highlight w:val="none"/>
        </w:rPr>
        <w:t>附件一</w:t>
      </w:r>
    </w:p>
    <w:p w14:paraId="18D09B10">
      <w:pPr>
        <w:jc w:val="center"/>
        <w:rPr>
          <w:rFonts w:hint="eastAsia" w:ascii="宋体" w:hAnsi="宋体"/>
          <w:color w:val="auto"/>
          <w:sz w:val="36"/>
          <w:szCs w:val="36"/>
          <w:highlight w:val="none"/>
          <w:lang w:val="zh-CN"/>
        </w:rPr>
      </w:pPr>
      <w:r>
        <w:rPr>
          <w:rFonts w:hint="eastAsia" w:ascii="宋体" w:hAnsi="宋体"/>
          <w:color w:val="auto"/>
          <w:sz w:val="36"/>
          <w:szCs w:val="36"/>
          <w:highlight w:val="none"/>
          <w:lang w:val="zh-CN"/>
        </w:rPr>
        <w:t>报价一览表</w:t>
      </w:r>
    </w:p>
    <w:p w14:paraId="2F91496A">
      <w:pPr>
        <w:wordWrap w:val="0"/>
        <w:spacing w:line="400" w:lineRule="exact"/>
        <w:ind w:right="420"/>
        <w:rPr>
          <w:rFonts w:hint="eastAsia" w:ascii="宋体" w:hAnsi="宋体"/>
          <w:color w:val="auto"/>
          <w:szCs w:val="21"/>
          <w:highlight w:val="none"/>
        </w:rPr>
      </w:pPr>
      <w:r>
        <w:rPr>
          <w:rFonts w:hint="eastAsia" w:ascii="宋体" w:hAnsi="宋体"/>
          <w:color w:val="auto"/>
          <w:szCs w:val="21"/>
          <w:highlight w:val="none"/>
        </w:rPr>
        <w:t xml:space="preserve">项目名称：  </w:t>
      </w:r>
      <w:r>
        <w:rPr>
          <w:rFonts w:ascii="宋体" w:hAnsi="宋体"/>
          <w:color w:val="auto"/>
          <w:szCs w:val="21"/>
          <w:highlight w:val="none"/>
        </w:rPr>
        <w:t xml:space="preserve">                                                  </w:t>
      </w:r>
      <w:r>
        <w:rPr>
          <w:rFonts w:hint="eastAsia" w:ascii="宋体" w:hAnsi="宋体"/>
          <w:color w:val="auto"/>
          <w:szCs w:val="21"/>
          <w:highlight w:val="none"/>
        </w:rPr>
        <w:t>项目</w:t>
      </w:r>
      <w:r>
        <w:rPr>
          <w:rFonts w:ascii="宋体" w:hAnsi="宋体"/>
          <w:color w:val="auto"/>
          <w:szCs w:val="21"/>
          <w:highlight w:val="none"/>
        </w:rPr>
        <w:t>编号：</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750"/>
        <w:gridCol w:w="3720"/>
        <w:gridCol w:w="2217"/>
      </w:tblGrid>
      <w:tr w14:paraId="58E3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7" w:type="dxa"/>
            <w:vAlign w:val="center"/>
          </w:tcPr>
          <w:p w14:paraId="220E8F65">
            <w:pPr>
              <w:widowControl/>
              <w:jc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序号</w:t>
            </w:r>
          </w:p>
        </w:tc>
        <w:tc>
          <w:tcPr>
            <w:tcW w:w="2750" w:type="dxa"/>
            <w:vAlign w:val="center"/>
          </w:tcPr>
          <w:p w14:paraId="17EF042A">
            <w:pPr>
              <w:widowControl/>
              <w:jc w:val="center"/>
              <w:rPr>
                <w:rFonts w:hint="eastAsia" w:ascii="宋体" w:hAnsi="宋体" w:eastAsia="宋体" w:cs="宋体"/>
                <w:b/>
                <w:bCs/>
                <w:color w:val="auto"/>
                <w:kern w:val="0"/>
                <w:sz w:val="22"/>
                <w:highlight w:val="none"/>
                <w:lang w:eastAsia="zh-CN"/>
              </w:rPr>
            </w:pPr>
            <w:r>
              <w:rPr>
                <w:rFonts w:hint="eastAsia" w:ascii="宋体" w:hAnsi="宋体" w:cs="宋体"/>
                <w:b/>
                <w:bCs/>
                <w:color w:val="auto"/>
                <w:kern w:val="0"/>
                <w:sz w:val="22"/>
                <w:highlight w:val="none"/>
                <w:lang w:val="en-US" w:eastAsia="zh-CN"/>
              </w:rPr>
              <w:t>标项名称</w:t>
            </w:r>
          </w:p>
        </w:tc>
        <w:tc>
          <w:tcPr>
            <w:tcW w:w="3720" w:type="dxa"/>
            <w:vAlign w:val="center"/>
          </w:tcPr>
          <w:p w14:paraId="54219C12">
            <w:pPr>
              <w:spacing w:line="400" w:lineRule="exact"/>
              <w:jc w:val="center"/>
              <w:rPr>
                <w:rFonts w:hint="eastAsia" w:ascii="宋体" w:hAnsi="宋体" w:eastAsia="宋体"/>
                <w:color w:val="auto"/>
                <w:szCs w:val="21"/>
                <w:highlight w:val="none"/>
              </w:rPr>
            </w:pPr>
            <w:r>
              <w:rPr>
                <w:rFonts w:hint="eastAsia" w:ascii="宋体" w:hAnsi="宋体" w:eastAsia="宋体" w:cs="宋体"/>
                <w:b/>
                <w:bCs/>
                <w:color w:val="auto"/>
                <w:kern w:val="0"/>
                <w:sz w:val="22"/>
                <w:highlight w:val="none"/>
              </w:rPr>
              <w:t>投标报价（人民币）</w:t>
            </w:r>
          </w:p>
        </w:tc>
        <w:tc>
          <w:tcPr>
            <w:tcW w:w="2217" w:type="dxa"/>
            <w:vAlign w:val="center"/>
          </w:tcPr>
          <w:p w14:paraId="4ED971B2">
            <w:pPr>
              <w:spacing w:line="400" w:lineRule="exact"/>
              <w:jc w:val="center"/>
              <w:rPr>
                <w:rFonts w:hint="default" w:ascii="宋体" w:hAnsi="宋体" w:eastAsia="宋体" w:cs="宋体"/>
                <w:b/>
                <w:bCs/>
                <w:color w:val="auto"/>
                <w:kern w:val="0"/>
                <w:sz w:val="22"/>
                <w:highlight w:val="none"/>
                <w:lang w:val="en-US" w:eastAsia="zh-CN"/>
              </w:rPr>
            </w:pPr>
            <w:r>
              <w:rPr>
                <w:rFonts w:hint="eastAsia" w:ascii="宋体" w:hAnsi="宋体" w:cs="宋体"/>
                <w:b/>
                <w:bCs/>
                <w:color w:val="auto"/>
                <w:kern w:val="0"/>
                <w:sz w:val="22"/>
                <w:highlight w:val="none"/>
                <w:lang w:val="en-US" w:eastAsia="zh-CN"/>
              </w:rPr>
              <w:t>最高限价</w:t>
            </w:r>
          </w:p>
        </w:tc>
      </w:tr>
      <w:tr w14:paraId="601A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707" w:type="dxa"/>
            <w:tcBorders>
              <w:top w:val="single" w:color="auto" w:sz="4" w:space="0"/>
              <w:left w:val="single" w:color="auto" w:sz="4" w:space="0"/>
              <w:right w:val="single" w:color="auto" w:sz="4" w:space="0"/>
            </w:tcBorders>
            <w:vAlign w:val="center"/>
          </w:tcPr>
          <w:p w14:paraId="6A4E72E4">
            <w:pPr>
              <w:widowControl/>
              <w:jc w:val="center"/>
              <w:textAlignment w:val="center"/>
              <w:rPr>
                <w:rFonts w:hint="eastAsia" w:ascii="宋体" w:hAnsi="宋体" w:eastAsia="宋体" w:cs="宋体"/>
                <w:b/>
                <w:bCs/>
                <w:color w:val="auto"/>
                <w:sz w:val="22"/>
                <w:highlight w:val="none"/>
                <w:lang w:eastAsia="zh-CN"/>
              </w:rPr>
            </w:pPr>
            <w:r>
              <w:rPr>
                <w:rFonts w:hint="eastAsia" w:ascii="宋体" w:hAnsi="宋体" w:cs="宋体"/>
                <w:color w:val="auto"/>
                <w:kern w:val="0"/>
                <w:sz w:val="22"/>
                <w:highlight w:val="none"/>
                <w:lang w:val="en-US" w:eastAsia="zh-CN"/>
              </w:rPr>
              <w:t>一</w:t>
            </w:r>
          </w:p>
        </w:tc>
        <w:tc>
          <w:tcPr>
            <w:tcW w:w="2750" w:type="dxa"/>
            <w:tcBorders>
              <w:top w:val="single" w:color="auto" w:sz="4" w:space="0"/>
              <w:left w:val="single" w:color="auto" w:sz="4" w:space="0"/>
              <w:right w:val="single" w:color="auto" w:sz="4" w:space="0"/>
            </w:tcBorders>
            <w:vAlign w:val="center"/>
          </w:tcPr>
          <w:p w14:paraId="329A0611">
            <w:pPr>
              <w:widowControl/>
              <w:jc w:val="center"/>
              <w:textAlignment w:val="center"/>
              <w:rPr>
                <w:rFonts w:hint="eastAsia" w:ascii="宋体" w:hAnsi="宋体" w:eastAsia="宋体" w:cs="宋体"/>
                <w:b/>
                <w:bCs/>
                <w:color w:val="auto"/>
                <w:sz w:val="22"/>
                <w:highlight w:val="none"/>
                <w:lang w:eastAsia="zh-CN"/>
              </w:rPr>
            </w:pPr>
            <w:r>
              <w:rPr>
                <w:rFonts w:hint="eastAsia" w:ascii="宋体" w:hAnsi="宋体" w:eastAsia="宋体" w:cs="宋体"/>
                <w:color w:val="auto"/>
                <w:kern w:val="0"/>
                <w:sz w:val="22"/>
                <w:highlight w:val="none"/>
                <w:lang w:val="en-US" w:eastAsia="zh-CN"/>
              </w:rPr>
              <w:t>龟湖镇水厂备用水源工程设备采购</w:t>
            </w:r>
          </w:p>
        </w:tc>
        <w:tc>
          <w:tcPr>
            <w:tcW w:w="3720" w:type="dxa"/>
            <w:tcBorders>
              <w:top w:val="single" w:color="auto" w:sz="4" w:space="0"/>
              <w:left w:val="single" w:color="auto" w:sz="4" w:space="0"/>
              <w:right w:val="single" w:color="auto" w:sz="4" w:space="0"/>
            </w:tcBorders>
            <w:vAlign w:val="center"/>
          </w:tcPr>
          <w:p w14:paraId="5FD28D60">
            <w:pPr>
              <w:widowControl/>
              <w:spacing w:line="360" w:lineRule="auto"/>
              <w:jc w:val="left"/>
              <w:textAlignment w:val="center"/>
              <w:rPr>
                <w:rFonts w:hint="eastAsia" w:ascii="宋体" w:hAnsi="宋体" w:eastAsia="等线" w:cs="宋体"/>
                <w:sz w:val="22"/>
                <w:u w:val="single"/>
              </w:rPr>
            </w:pPr>
            <w:r>
              <w:rPr>
                <w:rFonts w:hint="eastAsia" w:ascii="宋体" w:hAnsi="宋体" w:cs="宋体"/>
                <w:sz w:val="22"/>
              </w:rPr>
              <w:t>大写：</w:t>
            </w:r>
            <w:r>
              <w:rPr>
                <w:rFonts w:hint="eastAsia" w:ascii="宋体" w:hAnsi="宋体" w:cs="宋体"/>
                <w:sz w:val="22"/>
                <w:u w:val="single"/>
              </w:rPr>
              <w:t xml:space="preserve">           </w:t>
            </w:r>
            <w:r>
              <w:rPr>
                <w:rFonts w:hint="eastAsia" w:ascii="宋体" w:hAnsi="宋体" w:cs="宋体"/>
                <w:sz w:val="22"/>
                <w:u w:val="single"/>
                <w:lang w:val="en-US" w:eastAsia="zh-CN"/>
              </w:rPr>
              <w:t xml:space="preserve">       </w:t>
            </w:r>
            <w:r>
              <w:rPr>
                <w:rFonts w:hint="eastAsia" w:ascii="宋体" w:hAnsi="宋体" w:cs="宋体"/>
                <w:sz w:val="22"/>
                <w:u w:val="single"/>
              </w:rPr>
              <w:t xml:space="preserve">    </w:t>
            </w:r>
          </w:p>
          <w:p w14:paraId="39C0444D">
            <w:pPr>
              <w:widowControl/>
              <w:spacing w:line="360" w:lineRule="auto"/>
              <w:jc w:val="left"/>
              <w:textAlignment w:val="center"/>
              <w:rPr>
                <w:rFonts w:hint="eastAsia" w:ascii="宋体" w:hAnsi="宋体" w:eastAsia="宋体"/>
                <w:color w:val="auto"/>
                <w:szCs w:val="21"/>
                <w:highlight w:val="none"/>
              </w:rPr>
            </w:pPr>
            <w:r>
              <w:rPr>
                <w:rFonts w:hint="eastAsia" w:ascii="宋体" w:hAnsi="宋体" w:cs="宋体"/>
                <w:sz w:val="22"/>
              </w:rPr>
              <w:t>小写：</w:t>
            </w:r>
            <w:r>
              <w:rPr>
                <w:rFonts w:hint="eastAsia" w:ascii="宋体" w:hAnsi="宋体" w:cs="宋体"/>
                <w:sz w:val="22"/>
                <w:u w:val="single"/>
              </w:rPr>
              <w:t xml:space="preserve">           </w:t>
            </w:r>
            <w:r>
              <w:rPr>
                <w:rFonts w:hint="eastAsia" w:ascii="宋体" w:hAnsi="宋体" w:cs="宋体"/>
                <w:sz w:val="22"/>
                <w:u w:val="single"/>
                <w:lang w:val="en-US" w:eastAsia="zh-CN"/>
              </w:rPr>
              <w:t xml:space="preserve">       </w:t>
            </w:r>
            <w:r>
              <w:rPr>
                <w:rFonts w:hint="eastAsia" w:ascii="宋体" w:hAnsi="宋体" w:cs="宋体"/>
                <w:sz w:val="22"/>
                <w:u w:val="single"/>
              </w:rPr>
              <w:t xml:space="preserve">    </w:t>
            </w:r>
          </w:p>
        </w:tc>
        <w:tc>
          <w:tcPr>
            <w:tcW w:w="2217" w:type="dxa"/>
            <w:tcBorders>
              <w:top w:val="single" w:color="auto" w:sz="4" w:space="0"/>
              <w:left w:val="single" w:color="auto" w:sz="4" w:space="0"/>
              <w:right w:val="single" w:color="auto" w:sz="4" w:space="0"/>
            </w:tcBorders>
            <w:vAlign w:val="center"/>
          </w:tcPr>
          <w:p w14:paraId="0D16D020">
            <w:pPr>
              <w:widowControl/>
              <w:jc w:val="center"/>
              <w:textAlignment w:val="center"/>
              <w:rPr>
                <w:rFonts w:hint="eastAsia" w:ascii="宋体" w:hAnsi="宋体" w:eastAsia="宋体" w:cs="宋体"/>
                <w:color w:val="auto"/>
                <w:kern w:val="0"/>
                <w:sz w:val="22"/>
                <w:highlight w:val="none"/>
              </w:rPr>
            </w:pPr>
            <w:r>
              <w:rPr>
                <w:rFonts w:hint="eastAsia" w:ascii="宋体" w:cs="Times New Roman"/>
                <w:color w:val="auto"/>
                <w:sz w:val="22"/>
                <w:szCs w:val="20"/>
                <w:highlight w:val="none"/>
                <w:lang w:val="en-US" w:eastAsia="zh-CN"/>
              </w:rPr>
              <w:t>131.9784万元</w:t>
            </w:r>
          </w:p>
        </w:tc>
      </w:tr>
    </w:tbl>
    <w:p w14:paraId="1D2EAF57">
      <w:pPr>
        <w:autoSpaceDE w:val="0"/>
        <w:autoSpaceDN w:val="0"/>
        <w:adjustRightInd w:val="0"/>
        <w:spacing w:line="440" w:lineRule="atLeast"/>
        <w:rPr>
          <w:rFonts w:hint="eastAsia" w:ascii="宋体" w:hAnsi="宋体" w:cs="仿宋_GB2312"/>
          <w:b/>
          <w:bCs/>
          <w:color w:val="auto"/>
          <w:sz w:val="22"/>
          <w:highlight w:val="none"/>
          <w:u w:val="single"/>
        </w:rPr>
      </w:pPr>
    </w:p>
    <w:p w14:paraId="170EF843">
      <w:pPr>
        <w:autoSpaceDE w:val="0"/>
        <w:autoSpaceDN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1、</w:t>
      </w:r>
      <w:r>
        <w:rPr>
          <w:rFonts w:hint="eastAsia" w:ascii="宋体" w:hAnsi="宋体" w:cs="宋体"/>
          <w:b/>
          <w:bCs/>
          <w:color w:val="auto"/>
          <w:sz w:val="22"/>
          <w:szCs w:val="21"/>
          <w:highlight w:val="none"/>
          <w:u w:val="single"/>
        </w:rPr>
        <w:t>▲本项目采用总价方式报价。</w:t>
      </w:r>
    </w:p>
    <w:p w14:paraId="572B2FCF">
      <w:pPr>
        <w:autoSpaceDE w:val="0"/>
        <w:autoSpaceDN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2、开标（报价）一览表中投标价为符合</w:t>
      </w:r>
      <w:r>
        <w:rPr>
          <w:rFonts w:hint="eastAsia" w:ascii="宋体" w:hAnsi="宋体" w:cs="宋体"/>
          <w:color w:val="auto"/>
          <w:sz w:val="22"/>
          <w:szCs w:val="21"/>
          <w:highlight w:val="none"/>
          <w:lang w:eastAsia="zh-CN"/>
        </w:rPr>
        <w:t>招标</w:t>
      </w:r>
      <w:r>
        <w:rPr>
          <w:rFonts w:hint="eastAsia" w:ascii="宋体" w:hAnsi="宋体" w:cs="宋体"/>
          <w:color w:val="auto"/>
          <w:sz w:val="22"/>
          <w:szCs w:val="21"/>
          <w:highlight w:val="none"/>
        </w:rPr>
        <w:t>文件要求的投标报价。</w:t>
      </w:r>
    </w:p>
    <w:p w14:paraId="12B51FDB">
      <w:pPr>
        <w:autoSpaceDE w:val="0"/>
        <w:autoSpaceDN w:val="0"/>
        <w:spacing w:line="360" w:lineRule="auto"/>
        <w:rPr>
          <w:rFonts w:hint="eastAsia" w:ascii="宋体" w:hAnsi="宋体"/>
          <w:color w:val="auto"/>
          <w:sz w:val="24"/>
          <w:highlight w:val="none"/>
        </w:rPr>
      </w:pPr>
      <w:r>
        <w:rPr>
          <w:rFonts w:hint="eastAsia" w:ascii="宋体" w:hAnsi="宋体" w:cs="宋体"/>
          <w:color w:val="auto"/>
          <w:sz w:val="22"/>
          <w:szCs w:val="21"/>
          <w:highlight w:val="none"/>
        </w:rPr>
        <w:t>3、</w:t>
      </w:r>
      <w:r>
        <w:rPr>
          <w:rFonts w:hint="eastAsia" w:ascii="宋体" w:hAnsi="宋体" w:cs="宋体"/>
          <w:b/>
          <w:bCs/>
          <w:color w:val="auto"/>
          <w:sz w:val="22"/>
          <w:szCs w:val="21"/>
          <w:highlight w:val="none"/>
          <w:u w:val="single"/>
        </w:rPr>
        <w:t>▲不提供此表格的将视为没有实质性响应</w:t>
      </w:r>
      <w:r>
        <w:rPr>
          <w:rFonts w:hint="eastAsia" w:ascii="宋体" w:hAnsi="宋体" w:cs="宋体"/>
          <w:b/>
          <w:bCs/>
          <w:color w:val="auto"/>
          <w:sz w:val="22"/>
          <w:szCs w:val="21"/>
          <w:highlight w:val="none"/>
          <w:u w:val="single"/>
          <w:lang w:eastAsia="zh-CN"/>
        </w:rPr>
        <w:t>招标</w:t>
      </w:r>
      <w:r>
        <w:rPr>
          <w:rFonts w:hint="eastAsia" w:ascii="宋体" w:hAnsi="宋体" w:cs="宋体"/>
          <w:b/>
          <w:bCs/>
          <w:color w:val="auto"/>
          <w:sz w:val="22"/>
          <w:szCs w:val="21"/>
          <w:highlight w:val="none"/>
          <w:u w:val="single"/>
        </w:rPr>
        <w:t>文件。</w:t>
      </w:r>
      <w:r>
        <w:rPr>
          <w:rFonts w:hint="eastAsia" w:ascii="宋体" w:hAnsi="宋体"/>
          <w:b/>
          <w:bCs/>
          <w:color w:val="auto"/>
          <w:szCs w:val="21"/>
          <w:highlight w:val="none"/>
          <w:u w:val="single"/>
        </w:rPr>
        <w:t xml:space="preserve">  </w:t>
      </w:r>
      <w:r>
        <w:rPr>
          <w:rFonts w:hint="eastAsia" w:ascii="宋体" w:hAnsi="宋体"/>
          <w:color w:val="auto"/>
          <w:szCs w:val="21"/>
          <w:highlight w:val="none"/>
        </w:rPr>
        <w:t xml:space="preserve">        </w:t>
      </w:r>
    </w:p>
    <w:p w14:paraId="22F714EE">
      <w:pPr>
        <w:autoSpaceDE w:val="0"/>
        <w:autoSpaceDN w:val="0"/>
        <w:adjustRightInd w:val="0"/>
        <w:spacing w:line="440" w:lineRule="atLeast"/>
        <w:rPr>
          <w:rFonts w:hint="eastAsia" w:ascii="宋体" w:hAnsi="宋体" w:cs="仿宋_GB2312"/>
          <w:color w:val="auto"/>
          <w:sz w:val="22"/>
          <w:highlight w:val="none"/>
        </w:rPr>
      </w:pPr>
    </w:p>
    <w:p w14:paraId="350B03F1">
      <w:pPr>
        <w:autoSpaceDE w:val="0"/>
        <w:autoSpaceDN w:val="0"/>
        <w:adjustRightInd w:val="0"/>
        <w:spacing w:line="440" w:lineRule="atLeast"/>
        <w:rPr>
          <w:rFonts w:hint="eastAsia" w:ascii="宋体" w:hAnsi="宋体" w:cs="仿宋_GB2312"/>
          <w:color w:val="auto"/>
          <w:sz w:val="22"/>
          <w:highlight w:val="none"/>
        </w:rPr>
      </w:pPr>
    </w:p>
    <w:p w14:paraId="16097A09">
      <w:pPr>
        <w:autoSpaceDE w:val="0"/>
        <w:autoSpaceDN w:val="0"/>
        <w:adjustRightInd w:val="0"/>
        <w:spacing w:line="440" w:lineRule="atLeast"/>
        <w:rPr>
          <w:rFonts w:hint="eastAsia" w:ascii="宋体" w:hAnsi="宋体" w:cs="仿宋_GB2312"/>
          <w:color w:val="auto"/>
          <w:sz w:val="22"/>
          <w:highlight w:val="none"/>
        </w:rPr>
      </w:pPr>
      <w:r>
        <w:rPr>
          <w:rFonts w:hint="eastAsia" w:ascii="宋体" w:hAnsi="宋体" w:cs="仿宋_GB2312"/>
          <w:color w:val="auto"/>
          <w:sz w:val="22"/>
          <w:highlight w:val="none"/>
        </w:rPr>
        <w:t>供应商全称（盖章）：</w:t>
      </w:r>
    </w:p>
    <w:p w14:paraId="460047AD">
      <w:pPr>
        <w:autoSpaceDE w:val="0"/>
        <w:autoSpaceDN w:val="0"/>
        <w:adjustRightInd w:val="0"/>
        <w:spacing w:line="440" w:lineRule="atLeast"/>
        <w:rPr>
          <w:rFonts w:hint="eastAsia" w:ascii="宋体" w:hAnsi="宋体" w:cs="仿宋_GB2312"/>
          <w:color w:val="auto"/>
          <w:sz w:val="22"/>
          <w:highlight w:val="none"/>
        </w:rPr>
      </w:pPr>
      <w:r>
        <w:rPr>
          <w:rFonts w:hint="eastAsia" w:ascii="宋体" w:hAnsi="宋体" w:cs="仿宋_GB2312"/>
          <w:color w:val="auto"/>
          <w:sz w:val="22"/>
          <w:highlight w:val="none"/>
        </w:rPr>
        <w:t>法定代表人（签字或盖章）或授权代表（签字）：</w:t>
      </w:r>
      <w:r>
        <w:rPr>
          <w:rFonts w:ascii="宋体" w:hAnsi="宋体" w:cs="仿宋_GB2312"/>
          <w:color w:val="auto"/>
          <w:sz w:val="22"/>
          <w:highlight w:val="none"/>
        </w:rPr>
        <w:tab/>
      </w:r>
    </w:p>
    <w:p w14:paraId="09E9E32B">
      <w:pPr>
        <w:autoSpaceDE w:val="0"/>
        <w:autoSpaceDN w:val="0"/>
        <w:adjustRightInd w:val="0"/>
        <w:spacing w:line="440" w:lineRule="atLeast"/>
        <w:rPr>
          <w:rFonts w:hint="eastAsia" w:ascii="宋体" w:hAnsi="宋体"/>
          <w:color w:val="auto"/>
          <w:sz w:val="32"/>
          <w:szCs w:val="32"/>
          <w:highlight w:val="none"/>
        </w:rPr>
      </w:pPr>
      <w:r>
        <w:rPr>
          <w:rFonts w:hint="eastAsia" w:ascii="宋体" w:hAnsi="宋体" w:cs="仿宋_GB2312"/>
          <w:color w:val="auto"/>
          <w:sz w:val="22"/>
          <w:highlight w:val="none"/>
        </w:rPr>
        <w:t>日期：</w:t>
      </w:r>
    </w:p>
    <w:p w14:paraId="388CF3DA">
      <w:pPr>
        <w:pStyle w:val="19"/>
        <w:adjustRightInd w:val="0"/>
        <w:snapToGrid w:val="0"/>
        <w:spacing w:line="400" w:lineRule="exact"/>
        <w:jc w:val="left"/>
        <w:rPr>
          <w:rFonts w:hint="eastAsia" w:hAnsi="宋体"/>
          <w:b/>
          <w:bCs/>
          <w:color w:val="auto"/>
          <w:sz w:val="32"/>
          <w:szCs w:val="32"/>
          <w:highlight w:val="none"/>
        </w:rPr>
        <w:sectPr>
          <w:headerReference r:id="rId13" w:type="default"/>
          <w:footerReference r:id="rId14" w:type="default"/>
          <w:pgSz w:w="11906" w:h="16838"/>
          <w:pgMar w:top="1440" w:right="1106" w:bottom="1440" w:left="1622" w:header="720" w:footer="720" w:gutter="0"/>
          <w:cols w:space="720" w:num="1"/>
          <w:docGrid w:type="lines" w:linePitch="312" w:charSpace="0"/>
        </w:sectPr>
      </w:pPr>
    </w:p>
    <w:p w14:paraId="1B4CD20A">
      <w:pPr>
        <w:pStyle w:val="19"/>
        <w:adjustRightInd w:val="0"/>
        <w:snapToGrid w:val="0"/>
        <w:spacing w:line="400" w:lineRule="exact"/>
        <w:jc w:val="left"/>
        <w:rPr>
          <w:rFonts w:hAnsi="宋体"/>
          <w:b/>
          <w:bCs/>
          <w:color w:val="auto"/>
          <w:sz w:val="32"/>
          <w:szCs w:val="32"/>
          <w:highlight w:val="none"/>
        </w:rPr>
      </w:pPr>
      <w:r>
        <w:rPr>
          <w:rFonts w:hint="eastAsia" w:hAnsi="宋体"/>
          <w:b/>
          <w:bCs/>
          <w:color w:val="auto"/>
          <w:sz w:val="32"/>
          <w:szCs w:val="32"/>
          <w:highlight w:val="none"/>
        </w:rPr>
        <w:t>附件二</w:t>
      </w:r>
    </w:p>
    <w:p w14:paraId="491CCC00">
      <w:pPr>
        <w:jc w:val="center"/>
        <w:rPr>
          <w:rFonts w:hint="eastAsia" w:ascii="宋体" w:hAnsi="宋体"/>
          <w:color w:val="auto"/>
          <w:sz w:val="36"/>
          <w:szCs w:val="36"/>
          <w:highlight w:val="none"/>
          <w:lang w:val="zh-CN"/>
        </w:rPr>
      </w:pPr>
      <w:r>
        <w:rPr>
          <w:rFonts w:hint="eastAsia" w:ascii="宋体" w:hAnsi="宋体"/>
          <w:color w:val="auto"/>
          <w:sz w:val="36"/>
          <w:szCs w:val="36"/>
          <w:highlight w:val="none"/>
          <w:lang w:val="zh-CN"/>
        </w:rPr>
        <w:tab/>
      </w:r>
      <w:r>
        <w:rPr>
          <w:rFonts w:hint="eastAsia" w:ascii="宋体" w:hAnsi="宋体"/>
          <w:color w:val="auto"/>
          <w:sz w:val="36"/>
          <w:szCs w:val="36"/>
          <w:highlight w:val="none"/>
          <w:lang w:val="zh-CN"/>
        </w:rPr>
        <w:t>投标分项报价表</w:t>
      </w:r>
    </w:p>
    <w:p w14:paraId="39E36504">
      <w:pPr>
        <w:wordWrap w:val="0"/>
        <w:spacing w:line="400" w:lineRule="exact"/>
        <w:ind w:left="210" w:right="420" w:hanging="213" w:hangingChars="100"/>
        <w:rPr>
          <w:rFonts w:hint="eastAsia" w:ascii="宋体" w:hAnsi="宋体"/>
          <w:color w:val="auto"/>
          <w:szCs w:val="21"/>
          <w:highlight w:val="none"/>
        </w:rPr>
      </w:pPr>
    </w:p>
    <w:p w14:paraId="4732C451">
      <w:pPr>
        <w:wordWrap w:val="0"/>
        <w:spacing w:line="400" w:lineRule="exact"/>
        <w:ind w:left="210" w:right="420" w:hanging="213" w:hangingChars="100"/>
        <w:rPr>
          <w:rFonts w:hint="eastAsia" w:ascii="宋体" w:hAnsi="宋体"/>
          <w:color w:val="auto"/>
          <w:szCs w:val="21"/>
          <w:highlight w:val="none"/>
        </w:rPr>
      </w:pPr>
      <w:r>
        <w:rPr>
          <w:rFonts w:hint="eastAsia" w:ascii="宋体" w:hAnsi="宋体"/>
          <w:color w:val="auto"/>
          <w:szCs w:val="21"/>
          <w:highlight w:val="none"/>
        </w:rPr>
        <w:t xml:space="preserve">项目名称：  </w:t>
      </w:r>
      <w:r>
        <w:rPr>
          <w:rFonts w:ascii="宋体" w:hAnsi="宋体"/>
          <w:color w:val="auto"/>
          <w:szCs w:val="21"/>
          <w:highlight w:val="none"/>
        </w:rPr>
        <w:t xml:space="preserve">                               </w:t>
      </w:r>
      <w:r>
        <w:rPr>
          <w:rFonts w:hint="eastAsia" w:ascii="宋体" w:hAnsi="宋体"/>
          <w:color w:val="auto"/>
          <w:szCs w:val="21"/>
          <w:highlight w:val="none"/>
        </w:rPr>
        <w:t>项目</w:t>
      </w:r>
      <w:r>
        <w:rPr>
          <w:rFonts w:ascii="宋体" w:hAnsi="宋体"/>
          <w:color w:val="auto"/>
          <w:szCs w:val="21"/>
          <w:highlight w:val="none"/>
        </w:rPr>
        <w:t>编号：</w:t>
      </w:r>
      <w:r>
        <w:rPr>
          <w:rFonts w:hint="eastAsia" w:ascii="宋体" w:hAnsi="宋体"/>
          <w:color w:val="auto"/>
          <w:szCs w:val="21"/>
          <w:highlight w:val="none"/>
        </w:rPr>
        <w:t xml:space="preserve">                     </w:t>
      </w:r>
      <w:r>
        <w:rPr>
          <w:rFonts w:hint="eastAsia" w:ascii="宋体" w:hAnsi="宋体"/>
          <w:color w:val="auto"/>
          <w:highlight w:val="none"/>
        </w:rPr>
        <w:t>人民币</w:t>
      </w:r>
      <w:r>
        <w:rPr>
          <w:rFonts w:ascii="宋体" w:hAnsi="宋体"/>
          <w:color w:val="auto"/>
          <w:highlight w:val="none"/>
        </w:rPr>
        <w:t xml:space="preserve">    </w:t>
      </w:r>
    </w:p>
    <w:tbl>
      <w:tblPr>
        <w:tblStyle w:val="38"/>
        <w:tblW w:w="912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7"/>
        <w:gridCol w:w="1487"/>
        <w:gridCol w:w="1155"/>
        <w:gridCol w:w="1188"/>
        <w:gridCol w:w="1466"/>
        <w:gridCol w:w="1372"/>
        <w:gridCol w:w="1351"/>
      </w:tblGrid>
      <w:tr w14:paraId="10F88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107" w:type="dxa"/>
            <w:tcBorders>
              <w:top w:val="single" w:color="000000" w:sz="4" w:space="0"/>
              <w:left w:val="single" w:color="000000" w:sz="4" w:space="0"/>
              <w:bottom w:val="single" w:color="000000" w:sz="4" w:space="0"/>
              <w:right w:val="single" w:color="000000" w:sz="4" w:space="0"/>
            </w:tcBorders>
            <w:vAlign w:val="center"/>
          </w:tcPr>
          <w:p w14:paraId="0365FFBB">
            <w:pPr>
              <w:snapToGrid w:val="0"/>
              <w:spacing w:line="500" w:lineRule="atLeas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序号</w:t>
            </w:r>
          </w:p>
        </w:tc>
        <w:tc>
          <w:tcPr>
            <w:tcW w:w="1487" w:type="dxa"/>
            <w:tcBorders>
              <w:top w:val="single" w:color="000000" w:sz="4" w:space="0"/>
              <w:left w:val="single" w:color="000000" w:sz="4" w:space="0"/>
              <w:bottom w:val="single" w:color="000000" w:sz="4" w:space="0"/>
              <w:right w:val="single" w:color="000000" w:sz="4" w:space="0"/>
            </w:tcBorders>
            <w:vAlign w:val="center"/>
          </w:tcPr>
          <w:p w14:paraId="256E0CEE">
            <w:pPr>
              <w:snapToGrid w:val="0"/>
              <w:spacing w:line="500" w:lineRule="atLeas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报价内容</w:t>
            </w:r>
          </w:p>
        </w:tc>
        <w:tc>
          <w:tcPr>
            <w:tcW w:w="1155" w:type="dxa"/>
            <w:tcBorders>
              <w:top w:val="single" w:color="000000" w:sz="4" w:space="0"/>
              <w:left w:val="single" w:color="000000" w:sz="4" w:space="0"/>
              <w:bottom w:val="single" w:color="000000" w:sz="4" w:space="0"/>
              <w:right w:val="single" w:color="000000" w:sz="4" w:space="0"/>
            </w:tcBorders>
            <w:vAlign w:val="center"/>
          </w:tcPr>
          <w:p w14:paraId="6009898B">
            <w:pPr>
              <w:snapToGrid w:val="0"/>
              <w:spacing w:line="500" w:lineRule="atLeas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单位</w:t>
            </w:r>
          </w:p>
        </w:tc>
        <w:tc>
          <w:tcPr>
            <w:tcW w:w="1188" w:type="dxa"/>
            <w:tcBorders>
              <w:top w:val="single" w:color="000000" w:sz="4" w:space="0"/>
              <w:left w:val="single" w:color="000000" w:sz="4" w:space="0"/>
              <w:bottom w:val="single" w:color="000000" w:sz="4" w:space="0"/>
              <w:right w:val="single" w:color="000000" w:sz="4" w:space="0"/>
            </w:tcBorders>
            <w:vAlign w:val="center"/>
          </w:tcPr>
          <w:p w14:paraId="0DD11034">
            <w:pPr>
              <w:snapToGrid w:val="0"/>
              <w:spacing w:line="500" w:lineRule="atLeas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数量</w:t>
            </w:r>
          </w:p>
        </w:tc>
        <w:tc>
          <w:tcPr>
            <w:tcW w:w="1466" w:type="dxa"/>
            <w:tcBorders>
              <w:top w:val="single" w:color="000000" w:sz="4" w:space="0"/>
              <w:left w:val="single" w:color="000000" w:sz="4" w:space="0"/>
              <w:bottom w:val="single" w:color="000000" w:sz="4" w:space="0"/>
              <w:right w:val="single" w:color="000000" w:sz="4" w:space="0"/>
            </w:tcBorders>
            <w:vAlign w:val="center"/>
          </w:tcPr>
          <w:p w14:paraId="5166596C">
            <w:pPr>
              <w:snapToGrid w:val="0"/>
              <w:spacing w:line="500" w:lineRule="atLeas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单价（元）</w:t>
            </w:r>
          </w:p>
        </w:tc>
        <w:tc>
          <w:tcPr>
            <w:tcW w:w="1372" w:type="dxa"/>
            <w:tcBorders>
              <w:top w:val="single" w:color="000000" w:sz="4" w:space="0"/>
              <w:left w:val="single" w:color="000000" w:sz="4" w:space="0"/>
              <w:bottom w:val="single" w:color="000000" w:sz="4" w:space="0"/>
              <w:right w:val="single" w:color="000000" w:sz="4" w:space="0"/>
            </w:tcBorders>
            <w:vAlign w:val="center"/>
          </w:tcPr>
          <w:p w14:paraId="68E0F1CF">
            <w:pPr>
              <w:snapToGrid w:val="0"/>
              <w:spacing w:line="500" w:lineRule="atLeas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金额（元）</w:t>
            </w:r>
          </w:p>
        </w:tc>
        <w:tc>
          <w:tcPr>
            <w:tcW w:w="1351" w:type="dxa"/>
            <w:tcBorders>
              <w:top w:val="single" w:color="000000" w:sz="4" w:space="0"/>
              <w:left w:val="single" w:color="000000" w:sz="4" w:space="0"/>
              <w:bottom w:val="single" w:color="000000" w:sz="4" w:space="0"/>
              <w:right w:val="single" w:color="000000" w:sz="4" w:space="0"/>
            </w:tcBorders>
            <w:vAlign w:val="center"/>
          </w:tcPr>
          <w:p w14:paraId="54F074F6">
            <w:pPr>
              <w:snapToGrid w:val="0"/>
              <w:spacing w:line="500" w:lineRule="atLeast"/>
              <w:jc w:val="center"/>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备注</w:t>
            </w:r>
          </w:p>
        </w:tc>
      </w:tr>
      <w:tr w14:paraId="6EF4F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107" w:type="dxa"/>
            <w:tcBorders>
              <w:top w:val="single" w:color="000000" w:sz="4" w:space="0"/>
              <w:left w:val="single" w:color="000000" w:sz="4" w:space="0"/>
              <w:bottom w:val="single" w:color="000000" w:sz="4" w:space="0"/>
              <w:right w:val="single" w:color="000000" w:sz="4" w:space="0"/>
            </w:tcBorders>
            <w:vAlign w:val="center"/>
          </w:tcPr>
          <w:p w14:paraId="61469E37">
            <w:pPr>
              <w:snapToGrid w:val="0"/>
              <w:spacing w:line="500" w:lineRule="atLeast"/>
              <w:ind w:firstLine="550"/>
              <w:jc w:val="center"/>
              <w:rPr>
                <w:rFonts w:hint="eastAsia" w:ascii="宋体" w:hAnsi="宋体" w:eastAsia="宋体" w:cs="Times New Roman"/>
                <w:color w:val="auto"/>
                <w:sz w:val="24"/>
                <w:szCs w:val="24"/>
                <w:highlight w:val="none"/>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1792FF46">
            <w:pPr>
              <w:snapToGrid w:val="0"/>
              <w:spacing w:line="500" w:lineRule="atLeast"/>
              <w:ind w:firstLine="550"/>
              <w:jc w:val="center"/>
              <w:rPr>
                <w:rFonts w:hint="eastAsia" w:ascii="宋体" w:hAnsi="宋体" w:eastAsia="宋体" w:cs="Times New Roman"/>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14:paraId="6F37C418">
            <w:pPr>
              <w:snapToGrid w:val="0"/>
              <w:spacing w:line="500" w:lineRule="atLeast"/>
              <w:ind w:firstLine="550"/>
              <w:jc w:val="center"/>
              <w:rPr>
                <w:rFonts w:hint="eastAsia" w:ascii="宋体" w:hAnsi="宋体" w:eastAsia="宋体" w:cs="Times New Roman"/>
                <w:color w:val="auto"/>
                <w:sz w:val="24"/>
                <w:szCs w:val="24"/>
                <w:highlight w:val="none"/>
              </w:rPr>
            </w:pPr>
          </w:p>
        </w:tc>
        <w:tc>
          <w:tcPr>
            <w:tcW w:w="1188" w:type="dxa"/>
            <w:tcBorders>
              <w:top w:val="single" w:color="000000" w:sz="4" w:space="0"/>
              <w:left w:val="single" w:color="000000" w:sz="4" w:space="0"/>
              <w:bottom w:val="single" w:color="000000" w:sz="4" w:space="0"/>
              <w:right w:val="single" w:color="000000" w:sz="4" w:space="0"/>
            </w:tcBorders>
            <w:vAlign w:val="center"/>
          </w:tcPr>
          <w:p w14:paraId="12CB1318">
            <w:pPr>
              <w:snapToGrid w:val="0"/>
              <w:spacing w:line="500" w:lineRule="atLeast"/>
              <w:ind w:firstLine="550"/>
              <w:jc w:val="center"/>
              <w:rPr>
                <w:rFonts w:hint="eastAsia" w:ascii="宋体" w:hAnsi="宋体" w:eastAsia="宋体" w:cs="Times New Roman"/>
                <w:color w:val="auto"/>
                <w:sz w:val="24"/>
                <w:szCs w:val="24"/>
                <w:highlight w:val="none"/>
              </w:rPr>
            </w:pPr>
          </w:p>
        </w:tc>
        <w:tc>
          <w:tcPr>
            <w:tcW w:w="1466" w:type="dxa"/>
            <w:tcBorders>
              <w:top w:val="single" w:color="000000" w:sz="4" w:space="0"/>
              <w:left w:val="single" w:color="000000" w:sz="4" w:space="0"/>
              <w:bottom w:val="single" w:color="000000" w:sz="4" w:space="0"/>
              <w:right w:val="single" w:color="000000" w:sz="4" w:space="0"/>
            </w:tcBorders>
            <w:vAlign w:val="center"/>
          </w:tcPr>
          <w:p w14:paraId="1E6F28DD">
            <w:pPr>
              <w:snapToGrid w:val="0"/>
              <w:spacing w:line="500" w:lineRule="atLeast"/>
              <w:ind w:firstLine="550"/>
              <w:jc w:val="center"/>
              <w:rPr>
                <w:rFonts w:hint="eastAsia" w:ascii="宋体" w:hAnsi="宋体" w:eastAsia="宋体" w:cs="Times New Roman"/>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29A007E0">
            <w:pPr>
              <w:snapToGrid w:val="0"/>
              <w:spacing w:line="500" w:lineRule="atLeast"/>
              <w:ind w:firstLine="550"/>
              <w:jc w:val="center"/>
              <w:rPr>
                <w:rFonts w:hint="eastAsia" w:ascii="宋体" w:hAnsi="宋体" w:eastAsia="宋体" w:cs="Times New Roman"/>
                <w:color w:val="auto"/>
                <w:sz w:val="24"/>
                <w:szCs w:val="24"/>
                <w:highlight w:val="none"/>
              </w:rPr>
            </w:pPr>
          </w:p>
        </w:tc>
        <w:tc>
          <w:tcPr>
            <w:tcW w:w="1351" w:type="dxa"/>
            <w:tcBorders>
              <w:top w:val="single" w:color="000000" w:sz="4" w:space="0"/>
              <w:left w:val="single" w:color="000000" w:sz="4" w:space="0"/>
              <w:bottom w:val="single" w:color="000000" w:sz="4" w:space="0"/>
              <w:right w:val="single" w:color="000000" w:sz="4" w:space="0"/>
            </w:tcBorders>
            <w:vAlign w:val="center"/>
          </w:tcPr>
          <w:p w14:paraId="6093A020">
            <w:pPr>
              <w:snapToGrid w:val="0"/>
              <w:spacing w:line="500" w:lineRule="atLeast"/>
              <w:ind w:firstLine="550"/>
              <w:jc w:val="center"/>
              <w:rPr>
                <w:rFonts w:hint="eastAsia" w:ascii="宋体" w:hAnsi="宋体" w:eastAsia="宋体" w:cs="Times New Roman"/>
                <w:color w:val="auto"/>
                <w:sz w:val="24"/>
                <w:szCs w:val="24"/>
                <w:highlight w:val="none"/>
              </w:rPr>
            </w:pPr>
          </w:p>
        </w:tc>
      </w:tr>
      <w:tr w14:paraId="6193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107" w:type="dxa"/>
            <w:tcBorders>
              <w:top w:val="single" w:color="000000" w:sz="4" w:space="0"/>
              <w:left w:val="single" w:color="000000" w:sz="4" w:space="0"/>
              <w:bottom w:val="single" w:color="000000" w:sz="4" w:space="0"/>
              <w:right w:val="single" w:color="000000" w:sz="4" w:space="0"/>
            </w:tcBorders>
            <w:vAlign w:val="center"/>
          </w:tcPr>
          <w:p w14:paraId="4D034FDC">
            <w:pPr>
              <w:snapToGrid w:val="0"/>
              <w:spacing w:line="500" w:lineRule="atLeast"/>
              <w:ind w:firstLine="550"/>
              <w:jc w:val="center"/>
              <w:rPr>
                <w:rFonts w:hint="eastAsia" w:ascii="宋体" w:hAnsi="宋体" w:eastAsia="宋体" w:cs="Times New Roman"/>
                <w:color w:val="auto"/>
                <w:sz w:val="24"/>
                <w:szCs w:val="24"/>
                <w:highlight w:val="none"/>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0F24B186">
            <w:pPr>
              <w:snapToGrid w:val="0"/>
              <w:spacing w:line="500" w:lineRule="atLeast"/>
              <w:ind w:firstLine="550"/>
              <w:jc w:val="center"/>
              <w:rPr>
                <w:rFonts w:hint="eastAsia" w:ascii="宋体" w:hAnsi="宋体" w:eastAsia="宋体" w:cs="Times New Roman"/>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14:paraId="30B3DDF7">
            <w:pPr>
              <w:snapToGrid w:val="0"/>
              <w:spacing w:line="500" w:lineRule="atLeast"/>
              <w:ind w:firstLine="550"/>
              <w:jc w:val="center"/>
              <w:rPr>
                <w:rFonts w:hint="eastAsia" w:ascii="宋体" w:hAnsi="宋体" w:eastAsia="宋体" w:cs="Times New Roman"/>
                <w:color w:val="auto"/>
                <w:sz w:val="24"/>
                <w:szCs w:val="24"/>
                <w:highlight w:val="none"/>
              </w:rPr>
            </w:pPr>
          </w:p>
        </w:tc>
        <w:tc>
          <w:tcPr>
            <w:tcW w:w="1188" w:type="dxa"/>
            <w:tcBorders>
              <w:top w:val="single" w:color="000000" w:sz="4" w:space="0"/>
              <w:left w:val="single" w:color="000000" w:sz="4" w:space="0"/>
              <w:bottom w:val="single" w:color="000000" w:sz="4" w:space="0"/>
              <w:right w:val="single" w:color="000000" w:sz="4" w:space="0"/>
            </w:tcBorders>
            <w:vAlign w:val="center"/>
          </w:tcPr>
          <w:p w14:paraId="468C9C64">
            <w:pPr>
              <w:snapToGrid w:val="0"/>
              <w:spacing w:line="500" w:lineRule="atLeast"/>
              <w:ind w:firstLine="550"/>
              <w:jc w:val="center"/>
              <w:rPr>
                <w:rFonts w:hint="eastAsia" w:ascii="宋体" w:hAnsi="宋体" w:eastAsia="宋体" w:cs="Times New Roman"/>
                <w:color w:val="auto"/>
                <w:sz w:val="24"/>
                <w:szCs w:val="24"/>
                <w:highlight w:val="none"/>
              </w:rPr>
            </w:pPr>
          </w:p>
        </w:tc>
        <w:tc>
          <w:tcPr>
            <w:tcW w:w="1466" w:type="dxa"/>
            <w:tcBorders>
              <w:top w:val="single" w:color="000000" w:sz="4" w:space="0"/>
              <w:left w:val="single" w:color="000000" w:sz="4" w:space="0"/>
              <w:bottom w:val="single" w:color="000000" w:sz="4" w:space="0"/>
              <w:right w:val="single" w:color="000000" w:sz="4" w:space="0"/>
            </w:tcBorders>
            <w:vAlign w:val="center"/>
          </w:tcPr>
          <w:p w14:paraId="16E58DA6">
            <w:pPr>
              <w:snapToGrid w:val="0"/>
              <w:spacing w:line="500" w:lineRule="atLeast"/>
              <w:ind w:firstLine="550"/>
              <w:jc w:val="center"/>
              <w:rPr>
                <w:rFonts w:hint="eastAsia" w:ascii="宋体" w:hAnsi="宋体" w:eastAsia="宋体" w:cs="Times New Roman"/>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1D3B768A">
            <w:pPr>
              <w:snapToGrid w:val="0"/>
              <w:spacing w:line="500" w:lineRule="atLeast"/>
              <w:ind w:firstLine="550"/>
              <w:jc w:val="center"/>
              <w:rPr>
                <w:rFonts w:hint="eastAsia" w:ascii="宋体" w:hAnsi="宋体" w:eastAsia="宋体" w:cs="Times New Roman"/>
                <w:color w:val="auto"/>
                <w:sz w:val="24"/>
                <w:szCs w:val="24"/>
                <w:highlight w:val="none"/>
              </w:rPr>
            </w:pPr>
          </w:p>
        </w:tc>
        <w:tc>
          <w:tcPr>
            <w:tcW w:w="1351" w:type="dxa"/>
            <w:tcBorders>
              <w:top w:val="single" w:color="000000" w:sz="4" w:space="0"/>
              <w:left w:val="single" w:color="000000" w:sz="4" w:space="0"/>
              <w:bottom w:val="single" w:color="000000" w:sz="4" w:space="0"/>
              <w:right w:val="single" w:color="000000" w:sz="4" w:space="0"/>
            </w:tcBorders>
            <w:vAlign w:val="center"/>
          </w:tcPr>
          <w:p w14:paraId="2950C830">
            <w:pPr>
              <w:snapToGrid w:val="0"/>
              <w:spacing w:line="500" w:lineRule="atLeast"/>
              <w:ind w:firstLine="550"/>
              <w:jc w:val="center"/>
              <w:rPr>
                <w:rFonts w:hint="eastAsia" w:ascii="宋体" w:hAnsi="宋体" w:eastAsia="宋体" w:cs="Times New Roman"/>
                <w:color w:val="auto"/>
                <w:sz w:val="24"/>
                <w:szCs w:val="24"/>
                <w:highlight w:val="none"/>
              </w:rPr>
            </w:pPr>
          </w:p>
        </w:tc>
      </w:tr>
      <w:tr w14:paraId="340D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107" w:type="dxa"/>
            <w:tcBorders>
              <w:top w:val="single" w:color="000000" w:sz="4" w:space="0"/>
              <w:left w:val="single" w:color="000000" w:sz="4" w:space="0"/>
              <w:bottom w:val="single" w:color="000000" w:sz="4" w:space="0"/>
              <w:right w:val="single" w:color="000000" w:sz="4" w:space="0"/>
            </w:tcBorders>
            <w:vAlign w:val="center"/>
          </w:tcPr>
          <w:p w14:paraId="57CC7CF2">
            <w:pPr>
              <w:snapToGrid w:val="0"/>
              <w:spacing w:line="500" w:lineRule="atLeast"/>
              <w:ind w:firstLine="550"/>
              <w:jc w:val="center"/>
              <w:rPr>
                <w:rFonts w:hint="eastAsia" w:ascii="宋体" w:hAnsi="宋体" w:eastAsia="宋体" w:cs="Times New Roman"/>
                <w:color w:val="auto"/>
                <w:sz w:val="24"/>
                <w:szCs w:val="24"/>
                <w:highlight w:val="none"/>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33B75E2E">
            <w:pPr>
              <w:snapToGrid w:val="0"/>
              <w:spacing w:line="500" w:lineRule="atLeast"/>
              <w:ind w:firstLine="550"/>
              <w:jc w:val="center"/>
              <w:rPr>
                <w:rFonts w:hint="eastAsia" w:ascii="宋体" w:hAnsi="宋体" w:eastAsia="宋体" w:cs="Times New Roman"/>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14:paraId="1CEE3F24">
            <w:pPr>
              <w:snapToGrid w:val="0"/>
              <w:spacing w:line="500" w:lineRule="atLeast"/>
              <w:ind w:firstLine="550"/>
              <w:jc w:val="center"/>
              <w:rPr>
                <w:rFonts w:hint="eastAsia" w:ascii="宋体" w:hAnsi="宋体" w:eastAsia="宋体" w:cs="Times New Roman"/>
                <w:color w:val="auto"/>
                <w:sz w:val="24"/>
                <w:szCs w:val="24"/>
                <w:highlight w:val="none"/>
              </w:rPr>
            </w:pPr>
          </w:p>
        </w:tc>
        <w:tc>
          <w:tcPr>
            <w:tcW w:w="1188" w:type="dxa"/>
            <w:tcBorders>
              <w:top w:val="single" w:color="000000" w:sz="4" w:space="0"/>
              <w:left w:val="single" w:color="000000" w:sz="4" w:space="0"/>
              <w:bottom w:val="single" w:color="000000" w:sz="4" w:space="0"/>
              <w:right w:val="single" w:color="000000" w:sz="4" w:space="0"/>
            </w:tcBorders>
            <w:vAlign w:val="center"/>
          </w:tcPr>
          <w:p w14:paraId="167A654E">
            <w:pPr>
              <w:snapToGrid w:val="0"/>
              <w:spacing w:line="500" w:lineRule="atLeast"/>
              <w:ind w:firstLine="550"/>
              <w:jc w:val="center"/>
              <w:rPr>
                <w:rFonts w:hint="eastAsia" w:ascii="宋体" w:hAnsi="宋体" w:eastAsia="宋体" w:cs="Times New Roman"/>
                <w:color w:val="auto"/>
                <w:sz w:val="24"/>
                <w:szCs w:val="24"/>
                <w:highlight w:val="none"/>
              </w:rPr>
            </w:pPr>
          </w:p>
        </w:tc>
        <w:tc>
          <w:tcPr>
            <w:tcW w:w="1466" w:type="dxa"/>
            <w:tcBorders>
              <w:top w:val="single" w:color="000000" w:sz="4" w:space="0"/>
              <w:left w:val="single" w:color="000000" w:sz="4" w:space="0"/>
              <w:bottom w:val="single" w:color="000000" w:sz="4" w:space="0"/>
              <w:right w:val="single" w:color="000000" w:sz="4" w:space="0"/>
            </w:tcBorders>
            <w:vAlign w:val="center"/>
          </w:tcPr>
          <w:p w14:paraId="2DDFCF61">
            <w:pPr>
              <w:snapToGrid w:val="0"/>
              <w:spacing w:line="500" w:lineRule="atLeast"/>
              <w:ind w:firstLine="550"/>
              <w:jc w:val="center"/>
              <w:rPr>
                <w:rFonts w:hint="eastAsia" w:ascii="宋体" w:hAnsi="宋体" w:eastAsia="宋体" w:cs="Times New Roman"/>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69B97B44">
            <w:pPr>
              <w:snapToGrid w:val="0"/>
              <w:spacing w:line="500" w:lineRule="atLeast"/>
              <w:ind w:firstLine="550"/>
              <w:jc w:val="center"/>
              <w:rPr>
                <w:rFonts w:hint="eastAsia" w:ascii="宋体" w:hAnsi="宋体" w:eastAsia="宋体" w:cs="Times New Roman"/>
                <w:color w:val="auto"/>
                <w:sz w:val="24"/>
                <w:szCs w:val="24"/>
                <w:highlight w:val="none"/>
              </w:rPr>
            </w:pPr>
          </w:p>
        </w:tc>
        <w:tc>
          <w:tcPr>
            <w:tcW w:w="1351" w:type="dxa"/>
            <w:tcBorders>
              <w:top w:val="single" w:color="000000" w:sz="4" w:space="0"/>
              <w:left w:val="single" w:color="000000" w:sz="4" w:space="0"/>
              <w:bottom w:val="single" w:color="000000" w:sz="4" w:space="0"/>
              <w:right w:val="single" w:color="000000" w:sz="4" w:space="0"/>
            </w:tcBorders>
            <w:vAlign w:val="center"/>
          </w:tcPr>
          <w:p w14:paraId="49C8881D">
            <w:pPr>
              <w:snapToGrid w:val="0"/>
              <w:spacing w:line="500" w:lineRule="atLeast"/>
              <w:ind w:firstLine="550"/>
              <w:jc w:val="center"/>
              <w:rPr>
                <w:rFonts w:hint="eastAsia" w:ascii="宋体" w:hAnsi="宋体" w:eastAsia="宋体" w:cs="Times New Roman"/>
                <w:color w:val="auto"/>
                <w:sz w:val="24"/>
                <w:szCs w:val="24"/>
                <w:highlight w:val="none"/>
              </w:rPr>
            </w:pPr>
          </w:p>
        </w:tc>
      </w:tr>
      <w:tr w14:paraId="49C65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107" w:type="dxa"/>
            <w:tcBorders>
              <w:top w:val="single" w:color="000000" w:sz="4" w:space="0"/>
              <w:left w:val="single" w:color="000000" w:sz="4" w:space="0"/>
              <w:bottom w:val="single" w:color="000000" w:sz="4" w:space="0"/>
              <w:right w:val="single" w:color="000000" w:sz="4" w:space="0"/>
            </w:tcBorders>
            <w:vAlign w:val="center"/>
          </w:tcPr>
          <w:p w14:paraId="09FCAEEA">
            <w:pPr>
              <w:snapToGrid w:val="0"/>
              <w:spacing w:line="500" w:lineRule="atLeast"/>
              <w:ind w:firstLine="550"/>
              <w:jc w:val="center"/>
              <w:rPr>
                <w:rFonts w:hint="eastAsia" w:ascii="宋体" w:hAnsi="宋体" w:eastAsia="宋体" w:cs="Times New Roman"/>
                <w:color w:val="auto"/>
                <w:sz w:val="24"/>
                <w:szCs w:val="24"/>
                <w:highlight w:val="none"/>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5111FD57">
            <w:pPr>
              <w:snapToGrid w:val="0"/>
              <w:spacing w:line="500" w:lineRule="atLeast"/>
              <w:ind w:firstLine="550"/>
              <w:jc w:val="center"/>
              <w:rPr>
                <w:rFonts w:hint="eastAsia" w:ascii="宋体" w:hAnsi="宋体" w:eastAsia="宋体" w:cs="Times New Roman"/>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14:paraId="7B8A69FF">
            <w:pPr>
              <w:snapToGrid w:val="0"/>
              <w:spacing w:line="500" w:lineRule="atLeast"/>
              <w:ind w:firstLine="550"/>
              <w:jc w:val="center"/>
              <w:rPr>
                <w:rFonts w:hint="eastAsia" w:ascii="宋体" w:hAnsi="宋体" w:eastAsia="宋体" w:cs="Times New Roman"/>
                <w:color w:val="auto"/>
                <w:sz w:val="24"/>
                <w:szCs w:val="24"/>
                <w:highlight w:val="none"/>
              </w:rPr>
            </w:pPr>
          </w:p>
        </w:tc>
        <w:tc>
          <w:tcPr>
            <w:tcW w:w="1188" w:type="dxa"/>
            <w:tcBorders>
              <w:top w:val="single" w:color="000000" w:sz="4" w:space="0"/>
              <w:left w:val="single" w:color="000000" w:sz="4" w:space="0"/>
              <w:bottom w:val="single" w:color="000000" w:sz="4" w:space="0"/>
              <w:right w:val="single" w:color="000000" w:sz="4" w:space="0"/>
            </w:tcBorders>
            <w:vAlign w:val="center"/>
          </w:tcPr>
          <w:p w14:paraId="7E925037">
            <w:pPr>
              <w:snapToGrid w:val="0"/>
              <w:spacing w:line="500" w:lineRule="atLeast"/>
              <w:ind w:firstLine="550"/>
              <w:jc w:val="center"/>
              <w:rPr>
                <w:rFonts w:hint="eastAsia" w:ascii="宋体" w:hAnsi="宋体" w:eastAsia="宋体" w:cs="Times New Roman"/>
                <w:color w:val="auto"/>
                <w:sz w:val="24"/>
                <w:szCs w:val="24"/>
                <w:highlight w:val="none"/>
              </w:rPr>
            </w:pPr>
          </w:p>
        </w:tc>
        <w:tc>
          <w:tcPr>
            <w:tcW w:w="1466" w:type="dxa"/>
            <w:tcBorders>
              <w:top w:val="single" w:color="000000" w:sz="4" w:space="0"/>
              <w:left w:val="single" w:color="000000" w:sz="4" w:space="0"/>
              <w:bottom w:val="single" w:color="000000" w:sz="4" w:space="0"/>
              <w:right w:val="single" w:color="000000" w:sz="4" w:space="0"/>
            </w:tcBorders>
            <w:vAlign w:val="center"/>
          </w:tcPr>
          <w:p w14:paraId="708F6208">
            <w:pPr>
              <w:snapToGrid w:val="0"/>
              <w:spacing w:line="500" w:lineRule="atLeast"/>
              <w:ind w:firstLine="550"/>
              <w:jc w:val="center"/>
              <w:rPr>
                <w:rFonts w:hint="eastAsia" w:ascii="宋体" w:hAnsi="宋体" w:eastAsia="宋体" w:cs="Times New Roman"/>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540335A0">
            <w:pPr>
              <w:snapToGrid w:val="0"/>
              <w:spacing w:line="500" w:lineRule="atLeast"/>
              <w:ind w:firstLine="550"/>
              <w:jc w:val="center"/>
              <w:rPr>
                <w:rFonts w:hint="eastAsia" w:ascii="宋体" w:hAnsi="宋体" w:eastAsia="宋体" w:cs="Times New Roman"/>
                <w:color w:val="auto"/>
                <w:sz w:val="24"/>
                <w:szCs w:val="24"/>
                <w:highlight w:val="none"/>
              </w:rPr>
            </w:pPr>
          </w:p>
        </w:tc>
        <w:tc>
          <w:tcPr>
            <w:tcW w:w="1351" w:type="dxa"/>
            <w:tcBorders>
              <w:top w:val="single" w:color="000000" w:sz="4" w:space="0"/>
              <w:left w:val="single" w:color="000000" w:sz="4" w:space="0"/>
              <w:bottom w:val="single" w:color="000000" w:sz="4" w:space="0"/>
              <w:right w:val="single" w:color="000000" w:sz="4" w:space="0"/>
            </w:tcBorders>
            <w:vAlign w:val="center"/>
          </w:tcPr>
          <w:p w14:paraId="460043A9">
            <w:pPr>
              <w:snapToGrid w:val="0"/>
              <w:spacing w:line="500" w:lineRule="atLeast"/>
              <w:ind w:firstLine="550"/>
              <w:jc w:val="center"/>
              <w:rPr>
                <w:rFonts w:hint="eastAsia" w:ascii="宋体" w:hAnsi="宋体" w:eastAsia="宋体" w:cs="Times New Roman"/>
                <w:color w:val="auto"/>
                <w:sz w:val="24"/>
                <w:szCs w:val="24"/>
                <w:highlight w:val="none"/>
              </w:rPr>
            </w:pPr>
          </w:p>
        </w:tc>
      </w:tr>
      <w:tr w14:paraId="4E447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107" w:type="dxa"/>
            <w:tcBorders>
              <w:top w:val="single" w:color="000000" w:sz="4" w:space="0"/>
              <w:left w:val="single" w:color="000000" w:sz="4" w:space="0"/>
              <w:bottom w:val="single" w:color="000000" w:sz="4" w:space="0"/>
              <w:right w:val="single" w:color="000000" w:sz="4" w:space="0"/>
            </w:tcBorders>
            <w:vAlign w:val="center"/>
          </w:tcPr>
          <w:p w14:paraId="6BBEB6DE">
            <w:pPr>
              <w:snapToGrid w:val="0"/>
              <w:spacing w:line="500" w:lineRule="atLeast"/>
              <w:ind w:firstLine="550"/>
              <w:jc w:val="center"/>
              <w:rPr>
                <w:rFonts w:hint="eastAsia" w:ascii="宋体" w:hAnsi="宋体" w:eastAsia="宋体" w:cs="Times New Roman"/>
                <w:color w:val="auto"/>
                <w:sz w:val="24"/>
                <w:szCs w:val="24"/>
                <w:highlight w:val="none"/>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3A86E54B">
            <w:pPr>
              <w:snapToGrid w:val="0"/>
              <w:spacing w:line="500" w:lineRule="atLeast"/>
              <w:ind w:firstLine="550"/>
              <w:jc w:val="center"/>
              <w:rPr>
                <w:rFonts w:hint="eastAsia" w:ascii="宋体" w:hAnsi="宋体" w:eastAsia="宋体" w:cs="Times New Roman"/>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14:paraId="02389796">
            <w:pPr>
              <w:snapToGrid w:val="0"/>
              <w:spacing w:line="500" w:lineRule="atLeast"/>
              <w:ind w:firstLine="550"/>
              <w:jc w:val="center"/>
              <w:rPr>
                <w:rFonts w:hint="eastAsia" w:ascii="宋体" w:hAnsi="宋体" w:eastAsia="宋体" w:cs="Times New Roman"/>
                <w:color w:val="auto"/>
                <w:sz w:val="24"/>
                <w:szCs w:val="24"/>
                <w:highlight w:val="none"/>
              </w:rPr>
            </w:pPr>
          </w:p>
        </w:tc>
        <w:tc>
          <w:tcPr>
            <w:tcW w:w="1188" w:type="dxa"/>
            <w:tcBorders>
              <w:top w:val="single" w:color="000000" w:sz="4" w:space="0"/>
              <w:left w:val="single" w:color="000000" w:sz="4" w:space="0"/>
              <w:bottom w:val="single" w:color="000000" w:sz="4" w:space="0"/>
              <w:right w:val="single" w:color="000000" w:sz="4" w:space="0"/>
            </w:tcBorders>
            <w:vAlign w:val="center"/>
          </w:tcPr>
          <w:p w14:paraId="5C54E3C6">
            <w:pPr>
              <w:snapToGrid w:val="0"/>
              <w:spacing w:line="500" w:lineRule="atLeast"/>
              <w:ind w:firstLine="550"/>
              <w:jc w:val="center"/>
              <w:rPr>
                <w:rFonts w:hint="eastAsia" w:ascii="宋体" w:hAnsi="宋体" w:eastAsia="宋体" w:cs="Times New Roman"/>
                <w:color w:val="auto"/>
                <w:sz w:val="24"/>
                <w:szCs w:val="24"/>
                <w:highlight w:val="none"/>
              </w:rPr>
            </w:pPr>
          </w:p>
        </w:tc>
        <w:tc>
          <w:tcPr>
            <w:tcW w:w="1466" w:type="dxa"/>
            <w:tcBorders>
              <w:top w:val="single" w:color="000000" w:sz="4" w:space="0"/>
              <w:left w:val="single" w:color="000000" w:sz="4" w:space="0"/>
              <w:bottom w:val="single" w:color="000000" w:sz="4" w:space="0"/>
              <w:right w:val="single" w:color="000000" w:sz="4" w:space="0"/>
            </w:tcBorders>
            <w:vAlign w:val="center"/>
          </w:tcPr>
          <w:p w14:paraId="4855757A">
            <w:pPr>
              <w:snapToGrid w:val="0"/>
              <w:spacing w:line="500" w:lineRule="atLeast"/>
              <w:ind w:firstLine="550"/>
              <w:jc w:val="center"/>
              <w:rPr>
                <w:rFonts w:hint="eastAsia" w:ascii="宋体" w:hAnsi="宋体" w:eastAsia="宋体" w:cs="Times New Roman"/>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1A337D9F">
            <w:pPr>
              <w:snapToGrid w:val="0"/>
              <w:spacing w:line="500" w:lineRule="atLeast"/>
              <w:ind w:firstLine="550"/>
              <w:jc w:val="center"/>
              <w:rPr>
                <w:rFonts w:hint="eastAsia" w:ascii="宋体" w:hAnsi="宋体" w:eastAsia="宋体" w:cs="Times New Roman"/>
                <w:color w:val="auto"/>
                <w:sz w:val="24"/>
                <w:szCs w:val="24"/>
                <w:highlight w:val="none"/>
              </w:rPr>
            </w:pPr>
          </w:p>
        </w:tc>
        <w:tc>
          <w:tcPr>
            <w:tcW w:w="1351" w:type="dxa"/>
            <w:tcBorders>
              <w:top w:val="single" w:color="000000" w:sz="4" w:space="0"/>
              <w:left w:val="single" w:color="000000" w:sz="4" w:space="0"/>
              <w:bottom w:val="single" w:color="000000" w:sz="4" w:space="0"/>
              <w:right w:val="single" w:color="000000" w:sz="4" w:space="0"/>
            </w:tcBorders>
            <w:vAlign w:val="center"/>
          </w:tcPr>
          <w:p w14:paraId="5288A241">
            <w:pPr>
              <w:snapToGrid w:val="0"/>
              <w:spacing w:line="500" w:lineRule="atLeast"/>
              <w:ind w:firstLine="550"/>
              <w:jc w:val="center"/>
              <w:rPr>
                <w:rFonts w:hint="eastAsia" w:ascii="宋体" w:hAnsi="宋体" w:eastAsia="宋体" w:cs="Times New Roman"/>
                <w:color w:val="auto"/>
                <w:sz w:val="24"/>
                <w:szCs w:val="24"/>
                <w:highlight w:val="none"/>
              </w:rPr>
            </w:pPr>
          </w:p>
        </w:tc>
      </w:tr>
      <w:tr w14:paraId="735AA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107" w:type="dxa"/>
            <w:tcBorders>
              <w:top w:val="single" w:color="000000" w:sz="4" w:space="0"/>
              <w:left w:val="single" w:color="000000" w:sz="4" w:space="0"/>
              <w:bottom w:val="single" w:color="000000" w:sz="4" w:space="0"/>
              <w:right w:val="single" w:color="000000" w:sz="4" w:space="0"/>
            </w:tcBorders>
            <w:vAlign w:val="center"/>
          </w:tcPr>
          <w:p w14:paraId="2AAED838">
            <w:pPr>
              <w:snapToGrid w:val="0"/>
              <w:spacing w:line="500" w:lineRule="atLeast"/>
              <w:ind w:firstLine="550"/>
              <w:jc w:val="center"/>
              <w:rPr>
                <w:rFonts w:hint="eastAsia" w:ascii="宋体" w:hAnsi="宋体" w:eastAsia="宋体" w:cs="Times New Roman"/>
                <w:color w:val="auto"/>
                <w:sz w:val="24"/>
                <w:szCs w:val="24"/>
                <w:highlight w:val="none"/>
              </w:rPr>
            </w:pPr>
          </w:p>
        </w:tc>
        <w:tc>
          <w:tcPr>
            <w:tcW w:w="1487" w:type="dxa"/>
            <w:tcBorders>
              <w:top w:val="single" w:color="000000" w:sz="4" w:space="0"/>
              <w:left w:val="single" w:color="000000" w:sz="4" w:space="0"/>
              <w:bottom w:val="single" w:color="000000" w:sz="4" w:space="0"/>
              <w:right w:val="single" w:color="000000" w:sz="4" w:space="0"/>
            </w:tcBorders>
            <w:vAlign w:val="center"/>
          </w:tcPr>
          <w:p w14:paraId="4292E126">
            <w:pPr>
              <w:snapToGrid w:val="0"/>
              <w:spacing w:line="500" w:lineRule="atLeas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p>
        </w:tc>
        <w:tc>
          <w:tcPr>
            <w:tcW w:w="1155" w:type="dxa"/>
            <w:tcBorders>
              <w:top w:val="single" w:color="000000" w:sz="4" w:space="0"/>
              <w:left w:val="single" w:color="000000" w:sz="4" w:space="0"/>
              <w:bottom w:val="single" w:color="000000" w:sz="4" w:space="0"/>
              <w:right w:val="single" w:color="000000" w:sz="4" w:space="0"/>
            </w:tcBorders>
            <w:vAlign w:val="center"/>
          </w:tcPr>
          <w:p w14:paraId="758C823A">
            <w:pPr>
              <w:snapToGrid w:val="0"/>
              <w:spacing w:line="500" w:lineRule="atLeast"/>
              <w:ind w:firstLine="550"/>
              <w:jc w:val="center"/>
              <w:rPr>
                <w:rFonts w:hint="eastAsia" w:ascii="宋体" w:hAnsi="宋体" w:eastAsia="宋体" w:cs="Times New Roman"/>
                <w:color w:val="auto"/>
                <w:sz w:val="24"/>
                <w:szCs w:val="24"/>
                <w:highlight w:val="none"/>
              </w:rPr>
            </w:pPr>
          </w:p>
        </w:tc>
        <w:tc>
          <w:tcPr>
            <w:tcW w:w="1188" w:type="dxa"/>
            <w:tcBorders>
              <w:top w:val="single" w:color="000000" w:sz="4" w:space="0"/>
              <w:left w:val="single" w:color="000000" w:sz="4" w:space="0"/>
              <w:bottom w:val="single" w:color="000000" w:sz="4" w:space="0"/>
              <w:right w:val="single" w:color="000000" w:sz="4" w:space="0"/>
            </w:tcBorders>
            <w:vAlign w:val="center"/>
          </w:tcPr>
          <w:p w14:paraId="59BBCF5B">
            <w:pPr>
              <w:snapToGrid w:val="0"/>
              <w:spacing w:line="500" w:lineRule="atLeast"/>
              <w:ind w:firstLine="550"/>
              <w:jc w:val="center"/>
              <w:rPr>
                <w:rFonts w:hint="eastAsia" w:ascii="宋体" w:hAnsi="宋体" w:eastAsia="宋体" w:cs="Times New Roman"/>
                <w:color w:val="auto"/>
                <w:sz w:val="24"/>
                <w:szCs w:val="24"/>
                <w:highlight w:val="none"/>
              </w:rPr>
            </w:pPr>
          </w:p>
        </w:tc>
        <w:tc>
          <w:tcPr>
            <w:tcW w:w="1466" w:type="dxa"/>
            <w:tcBorders>
              <w:top w:val="single" w:color="000000" w:sz="4" w:space="0"/>
              <w:left w:val="single" w:color="000000" w:sz="4" w:space="0"/>
              <w:bottom w:val="single" w:color="000000" w:sz="4" w:space="0"/>
              <w:right w:val="single" w:color="000000" w:sz="4" w:space="0"/>
            </w:tcBorders>
            <w:vAlign w:val="center"/>
          </w:tcPr>
          <w:p w14:paraId="52D7D731">
            <w:pPr>
              <w:snapToGrid w:val="0"/>
              <w:spacing w:line="500" w:lineRule="atLeast"/>
              <w:ind w:firstLine="550"/>
              <w:jc w:val="center"/>
              <w:rPr>
                <w:rFonts w:hint="eastAsia" w:ascii="宋体" w:hAnsi="宋体" w:eastAsia="宋体" w:cs="Times New Roman"/>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3B4036B5">
            <w:pPr>
              <w:snapToGrid w:val="0"/>
              <w:spacing w:line="500" w:lineRule="atLeast"/>
              <w:ind w:firstLine="550"/>
              <w:jc w:val="center"/>
              <w:rPr>
                <w:rFonts w:hint="eastAsia" w:ascii="宋体" w:hAnsi="宋体" w:eastAsia="宋体" w:cs="Times New Roman"/>
                <w:color w:val="auto"/>
                <w:sz w:val="24"/>
                <w:szCs w:val="24"/>
                <w:highlight w:val="none"/>
              </w:rPr>
            </w:pPr>
          </w:p>
        </w:tc>
        <w:tc>
          <w:tcPr>
            <w:tcW w:w="1351" w:type="dxa"/>
            <w:tcBorders>
              <w:top w:val="single" w:color="000000" w:sz="4" w:space="0"/>
              <w:left w:val="single" w:color="000000" w:sz="4" w:space="0"/>
              <w:bottom w:val="single" w:color="000000" w:sz="4" w:space="0"/>
              <w:right w:val="single" w:color="000000" w:sz="4" w:space="0"/>
            </w:tcBorders>
            <w:vAlign w:val="center"/>
          </w:tcPr>
          <w:p w14:paraId="32763106">
            <w:pPr>
              <w:snapToGrid w:val="0"/>
              <w:spacing w:line="500" w:lineRule="atLeast"/>
              <w:ind w:firstLine="550"/>
              <w:jc w:val="center"/>
              <w:rPr>
                <w:rFonts w:hint="eastAsia" w:ascii="宋体" w:hAnsi="宋体" w:eastAsia="宋体" w:cs="Times New Roman"/>
                <w:color w:val="auto"/>
                <w:sz w:val="24"/>
                <w:szCs w:val="24"/>
                <w:highlight w:val="none"/>
              </w:rPr>
            </w:pPr>
          </w:p>
        </w:tc>
      </w:tr>
      <w:tr w14:paraId="4C430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594" w:type="dxa"/>
            <w:gridSpan w:val="2"/>
            <w:tcBorders>
              <w:top w:val="single" w:color="000000" w:sz="4" w:space="0"/>
              <w:left w:val="single" w:color="000000" w:sz="4" w:space="0"/>
              <w:bottom w:val="single" w:color="000000" w:sz="4" w:space="0"/>
              <w:right w:val="single" w:color="000000" w:sz="4" w:space="0"/>
            </w:tcBorders>
            <w:vAlign w:val="center"/>
          </w:tcPr>
          <w:p w14:paraId="143727E4">
            <w:pPr>
              <w:snapToGrid w:val="0"/>
              <w:spacing w:line="500" w:lineRule="atLeas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投标总报价</w:t>
            </w:r>
          </w:p>
        </w:tc>
        <w:tc>
          <w:tcPr>
            <w:tcW w:w="6532" w:type="dxa"/>
            <w:gridSpan w:val="5"/>
            <w:tcBorders>
              <w:top w:val="single" w:color="000000" w:sz="4" w:space="0"/>
              <w:left w:val="single" w:color="000000" w:sz="4" w:space="0"/>
              <w:bottom w:val="single" w:color="000000" w:sz="4" w:space="0"/>
              <w:right w:val="single" w:color="000000" w:sz="4" w:space="0"/>
            </w:tcBorders>
            <w:vAlign w:val="center"/>
          </w:tcPr>
          <w:p w14:paraId="3C34FD11">
            <w:pPr>
              <w:snapToGrid w:val="0"/>
              <w:spacing w:line="500" w:lineRule="atLeast"/>
              <w:ind w:firstLine="550"/>
              <w:jc w:val="center"/>
              <w:rPr>
                <w:rFonts w:hint="eastAsia" w:ascii="宋体" w:hAnsi="宋体" w:eastAsia="宋体" w:cs="Times New Roman"/>
                <w:color w:val="auto"/>
                <w:sz w:val="24"/>
                <w:szCs w:val="24"/>
                <w:highlight w:val="none"/>
              </w:rPr>
            </w:pPr>
          </w:p>
        </w:tc>
      </w:tr>
    </w:tbl>
    <w:p w14:paraId="2806BC3B">
      <w:pPr>
        <w:pStyle w:val="19"/>
        <w:spacing w:line="460" w:lineRule="atLeast"/>
        <w:rPr>
          <w:rFonts w:hint="eastAsia" w:hAnsi="宋体"/>
          <w:color w:val="auto"/>
          <w:sz w:val="22"/>
          <w:szCs w:val="22"/>
          <w:highlight w:val="none"/>
        </w:rPr>
      </w:pPr>
    </w:p>
    <w:p w14:paraId="2C6F3ED4">
      <w:pPr>
        <w:spacing w:line="360" w:lineRule="auto"/>
        <w:jc w:val="left"/>
        <w:rPr>
          <w:rFonts w:ascii="宋体" w:hAnsi="宋体"/>
          <w:b/>
          <w:bCs/>
          <w:color w:val="auto"/>
          <w:sz w:val="22"/>
          <w:highlight w:val="none"/>
          <w:u w:val="single"/>
        </w:rPr>
      </w:pPr>
      <w:r>
        <w:rPr>
          <w:rFonts w:hint="eastAsia" w:ascii="宋体" w:hAnsi="宋体" w:cs="宋体"/>
          <w:b/>
          <w:bCs/>
          <w:color w:val="auto"/>
          <w:sz w:val="22"/>
          <w:highlight w:val="none"/>
          <w:u w:val="single"/>
        </w:rPr>
        <w:t>▲</w:t>
      </w:r>
      <w:r>
        <w:rPr>
          <w:rFonts w:hint="eastAsia" w:ascii="宋体" w:hAnsi="宋体"/>
          <w:b/>
          <w:bCs/>
          <w:color w:val="auto"/>
          <w:sz w:val="22"/>
          <w:highlight w:val="none"/>
          <w:u w:val="single"/>
        </w:rPr>
        <w:t>备注：</w:t>
      </w:r>
    </w:p>
    <w:p w14:paraId="128FF910">
      <w:pPr>
        <w:spacing w:line="360" w:lineRule="auto"/>
        <w:ind w:firstLine="420"/>
        <w:rPr>
          <w:rFonts w:hint="eastAsia" w:ascii="宋体" w:hAnsi="宋体"/>
          <w:b/>
          <w:bCs/>
          <w:color w:val="auto"/>
          <w:sz w:val="22"/>
          <w:highlight w:val="none"/>
          <w:u w:val="single"/>
        </w:rPr>
      </w:pPr>
      <w:r>
        <w:rPr>
          <w:rFonts w:hint="eastAsia" w:ascii="宋体" w:hAnsi="宋体"/>
          <w:b/>
          <w:bCs/>
          <w:color w:val="auto"/>
          <w:sz w:val="22"/>
          <w:highlight w:val="none"/>
          <w:u w:val="single"/>
        </w:rPr>
        <w:t>1. 不提供此表格的将视为没有实质性响应招标文件。</w:t>
      </w:r>
    </w:p>
    <w:p w14:paraId="50FBA11B">
      <w:pPr>
        <w:spacing w:line="360" w:lineRule="auto"/>
        <w:ind w:firstLine="420"/>
        <w:rPr>
          <w:rFonts w:hint="eastAsia" w:ascii="宋体" w:hAnsi="宋体"/>
          <w:b/>
          <w:bCs/>
          <w:color w:val="auto"/>
          <w:sz w:val="22"/>
          <w:highlight w:val="none"/>
          <w:u w:val="single"/>
        </w:rPr>
      </w:pPr>
      <w:r>
        <w:rPr>
          <w:rFonts w:hint="eastAsia" w:ascii="宋体" w:hAnsi="宋体"/>
          <w:b/>
          <w:bCs/>
          <w:color w:val="auto"/>
          <w:sz w:val="22"/>
          <w:highlight w:val="none"/>
          <w:u w:val="single"/>
        </w:rPr>
        <w:t>2. 此表的投标总价应与附件一“开标一览表”中的投标报价相一致。</w:t>
      </w:r>
    </w:p>
    <w:p w14:paraId="56CEE5BD">
      <w:pPr>
        <w:pStyle w:val="19"/>
        <w:spacing w:line="460" w:lineRule="atLeast"/>
        <w:ind w:firstLine="780" w:firstLineChars="350"/>
        <w:rPr>
          <w:rFonts w:hint="eastAsia" w:hAnsi="宋体"/>
          <w:color w:val="auto"/>
          <w:sz w:val="22"/>
          <w:szCs w:val="22"/>
          <w:highlight w:val="none"/>
        </w:rPr>
      </w:pPr>
    </w:p>
    <w:p w14:paraId="1D8CAFA6">
      <w:pPr>
        <w:pStyle w:val="19"/>
        <w:spacing w:line="460" w:lineRule="atLeast"/>
        <w:rPr>
          <w:rFonts w:hint="eastAsia" w:hAnsi="宋体"/>
          <w:color w:val="auto"/>
          <w:sz w:val="22"/>
          <w:szCs w:val="22"/>
          <w:highlight w:val="none"/>
        </w:rPr>
      </w:pPr>
      <w:r>
        <w:rPr>
          <w:rFonts w:hint="eastAsia" w:hAnsi="宋体"/>
          <w:color w:val="auto"/>
          <w:sz w:val="22"/>
          <w:szCs w:val="22"/>
          <w:highlight w:val="none"/>
        </w:rPr>
        <w:t>投标供应商（盖章）：</w:t>
      </w:r>
    </w:p>
    <w:p w14:paraId="43B7D90B">
      <w:pPr>
        <w:pStyle w:val="19"/>
        <w:spacing w:line="460" w:lineRule="atLeast"/>
        <w:rPr>
          <w:rFonts w:hint="eastAsia" w:hAnsi="宋体"/>
          <w:color w:val="auto"/>
          <w:sz w:val="22"/>
          <w:szCs w:val="22"/>
          <w:highlight w:val="none"/>
        </w:rPr>
      </w:pPr>
      <w:r>
        <w:rPr>
          <w:rFonts w:hint="eastAsia" w:hAnsi="宋体"/>
          <w:color w:val="auto"/>
          <w:sz w:val="22"/>
          <w:szCs w:val="22"/>
          <w:highlight w:val="none"/>
        </w:rPr>
        <w:t>法定代表人（签字或盖章）或授权代表（签字或盖章）：</w:t>
      </w:r>
    </w:p>
    <w:p w14:paraId="0DC65411">
      <w:pPr>
        <w:pStyle w:val="19"/>
        <w:spacing w:line="460" w:lineRule="atLeast"/>
        <w:rPr>
          <w:rFonts w:hint="eastAsia" w:hAnsi="宋体"/>
          <w:color w:val="auto"/>
          <w:sz w:val="22"/>
          <w:szCs w:val="22"/>
          <w:highlight w:val="none"/>
        </w:rPr>
      </w:pPr>
      <w:r>
        <w:rPr>
          <w:rFonts w:hint="eastAsia" w:hAnsi="宋体"/>
          <w:color w:val="auto"/>
          <w:sz w:val="22"/>
          <w:szCs w:val="22"/>
          <w:highlight w:val="none"/>
        </w:rPr>
        <w:t>日期：</w:t>
      </w:r>
    </w:p>
    <w:p w14:paraId="6476ECB0">
      <w:pPr>
        <w:spacing w:line="440" w:lineRule="exact"/>
        <w:jc w:val="left"/>
        <w:rPr>
          <w:rFonts w:hint="eastAsia" w:ascii="宋体" w:hAnsi="宋体"/>
          <w:b/>
          <w:color w:val="auto"/>
          <w:sz w:val="32"/>
          <w:szCs w:val="32"/>
          <w:highlight w:val="none"/>
        </w:rPr>
      </w:pPr>
      <w:r>
        <w:rPr>
          <w:rFonts w:hint="eastAsia" w:ascii="宋体" w:hAnsi="宋体"/>
          <w:b/>
          <w:bCs/>
          <w:color w:val="auto"/>
          <w:sz w:val="32"/>
          <w:szCs w:val="32"/>
          <w:highlight w:val="none"/>
        </w:rPr>
        <w:br w:type="page"/>
      </w:r>
      <w:r>
        <w:rPr>
          <w:rFonts w:hint="eastAsia" w:ascii="宋体" w:hAnsi="宋体"/>
          <w:b/>
          <w:color w:val="auto"/>
          <w:sz w:val="32"/>
          <w:szCs w:val="32"/>
          <w:highlight w:val="none"/>
        </w:rPr>
        <w:t>附件三</w:t>
      </w:r>
    </w:p>
    <w:p w14:paraId="41ACED45">
      <w:pPr>
        <w:pStyle w:val="19"/>
        <w:adjustRightInd w:val="0"/>
        <w:snapToGrid w:val="0"/>
        <w:spacing w:line="400" w:lineRule="exact"/>
        <w:jc w:val="center"/>
        <w:rPr>
          <w:rFonts w:hint="eastAsia" w:hAnsi="宋体"/>
          <w:b/>
          <w:bCs/>
          <w:color w:val="auto"/>
          <w:sz w:val="36"/>
          <w:szCs w:val="36"/>
          <w:highlight w:val="none"/>
        </w:rPr>
      </w:pPr>
    </w:p>
    <w:p w14:paraId="4C2EE469">
      <w:pPr>
        <w:jc w:val="center"/>
        <w:rPr>
          <w:rFonts w:hint="eastAsia" w:ascii="宋体" w:hAnsi="宋体"/>
          <w:color w:val="auto"/>
          <w:sz w:val="36"/>
          <w:szCs w:val="36"/>
          <w:highlight w:val="none"/>
          <w:lang w:val="zh-CN"/>
        </w:rPr>
      </w:pPr>
      <w:r>
        <w:rPr>
          <w:rFonts w:hint="eastAsia" w:ascii="宋体" w:hAnsi="宋体"/>
          <w:color w:val="auto"/>
          <w:sz w:val="36"/>
          <w:szCs w:val="36"/>
          <w:highlight w:val="none"/>
          <w:lang w:val="zh-CN"/>
        </w:rPr>
        <w:t>设备零件、易损件、备品备件报价表</w:t>
      </w:r>
    </w:p>
    <w:p w14:paraId="3A3CB8FB">
      <w:pPr>
        <w:rPr>
          <w:rFonts w:hint="eastAsia" w:ascii="宋体" w:hAnsi="宋体"/>
          <w:color w:val="auto"/>
          <w:highlight w:val="none"/>
        </w:rPr>
      </w:pPr>
    </w:p>
    <w:tbl>
      <w:tblPr>
        <w:tblStyle w:val="38"/>
        <w:tblW w:w="9800" w:type="dxa"/>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7"/>
        <w:gridCol w:w="1875"/>
        <w:gridCol w:w="1200"/>
        <w:gridCol w:w="2438"/>
        <w:gridCol w:w="1940"/>
      </w:tblGrid>
      <w:tr w14:paraId="2562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00" w:type="dxa"/>
            <w:vAlign w:val="center"/>
          </w:tcPr>
          <w:p w14:paraId="0623CC6C">
            <w:pPr>
              <w:pStyle w:val="19"/>
              <w:spacing w:line="440" w:lineRule="atLeast"/>
              <w:jc w:val="center"/>
              <w:rPr>
                <w:rFonts w:hint="eastAsia" w:hAnsi="宋体" w:eastAsia="宋体"/>
                <w:bCs/>
                <w:color w:val="auto"/>
                <w:sz w:val="22"/>
                <w:szCs w:val="22"/>
                <w:highlight w:val="none"/>
              </w:rPr>
            </w:pPr>
            <w:r>
              <w:rPr>
                <w:rFonts w:hint="eastAsia" w:hAnsi="宋体" w:eastAsia="宋体"/>
                <w:bCs/>
                <w:color w:val="auto"/>
                <w:sz w:val="22"/>
                <w:szCs w:val="22"/>
                <w:highlight w:val="none"/>
              </w:rPr>
              <w:t>序 号</w:t>
            </w:r>
          </w:p>
        </w:tc>
        <w:tc>
          <w:tcPr>
            <w:tcW w:w="1447" w:type="dxa"/>
            <w:vAlign w:val="center"/>
          </w:tcPr>
          <w:p w14:paraId="0C021A2A">
            <w:pPr>
              <w:pStyle w:val="19"/>
              <w:spacing w:line="440" w:lineRule="atLeast"/>
              <w:jc w:val="center"/>
              <w:rPr>
                <w:rFonts w:hint="eastAsia" w:hAnsi="宋体" w:eastAsia="宋体"/>
                <w:bCs/>
                <w:color w:val="auto"/>
                <w:sz w:val="22"/>
                <w:szCs w:val="22"/>
                <w:highlight w:val="none"/>
              </w:rPr>
            </w:pPr>
            <w:r>
              <w:rPr>
                <w:rFonts w:hint="eastAsia" w:hAnsi="宋体" w:eastAsia="宋体"/>
                <w:bCs/>
                <w:color w:val="auto"/>
                <w:sz w:val="22"/>
                <w:szCs w:val="22"/>
                <w:highlight w:val="none"/>
              </w:rPr>
              <w:t>名称</w:t>
            </w:r>
          </w:p>
        </w:tc>
        <w:tc>
          <w:tcPr>
            <w:tcW w:w="1875" w:type="dxa"/>
            <w:vAlign w:val="center"/>
          </w:tcPr>
          <w:p w14:paraId="7089F85D">
            <w:pPr>
              <w:pStyle w:val="19"/>
              <w:spacing w:line="440" w:lineRule="atLeast"/>
              <w:jc w:val="center"/>
              <w:rPr>
                <w:rFonts w:hint="eastAsia" w:hAnsi="宋体" w:eastAsia="宋体"/>
                <w:bCs/>
                <w:color w:val="auto"/>
                <w:sz w:val="22"/>
                <w:szCs w:val="22"/>
                <w:highlight w:val="none"/>
              </w:rPr>
            </w:pPr>
            <w:r>
              <w:rPr>
                <w:rFonts w:hint="eastAsia" w:hAnsi="宋体" w:eastAsia="宋体"/>
                <w:bCs/>
                <w:color w:val="auto"/>
                <w:sz w:val="22"/>
                <w:szCs w:val="22"/>
                <w:highlight w:val="none"/>
              </w:rPr>
              <w:t>产地、规格、型号</w:t>
            </w:r>
          </w:p>
        </w:tc>
        <w:tc>
          <w:tcPr>
            <w:tcW w:w="1200" w:type="dxa"/>
            <w:vAlign w:val="center"/>
          </w:tcPr>
          <w:p w14:paraId="60C7A581">
            <w:pPr>
              <w:pStyle w:val="19"/>
              <w:spacing w:line="440" w:lineRule="atLeast"/>
              <w:jc w:val="center"/>
              <w:rPr>
                <w:rFonts w:hint="eastAsia" w:hAnsi="宋体" w:eastAsia="宋体"/>
                <w:bCs/>
                <w:color w:val="auto"/>
                <w:sz w:val="22"/>
                <w:szCs w:val="22"/>
                <w:highlight w:val="none"/>
              </w:rPr>
            </w:pPr>
            <w:r>
              <w:rPr>
                <w:rFonts w:hint="eastAsia" w:hAnsi="宋体" w:eastAsia="宋体"/>
                <w:bCs/>
                <w:color w:val="auto"/>
                <w:sz w:val="22"/>
                <w:szCs w:val="22"/>
                <w:highlight w:val="none"/>
              </w:rPr>
              <w:t>数量</w:t>
            </w:r>
          </w:p>
        </w:tc>
        <w:tc>
          <w:tcPr>
            <w:tcW w:w="2438" w:type="dxa"/>
            <w:vAlign w:val="center"/>
          </w:tcPr>
          <w:p w14:paraId="257F0CE1">
            <w:pPr>
              <w:pStyle w:val="19"/>
              <w:spacing w:line="440" w:lineRule="atLeast"/>
              <w:jc w:val="center"/>
              <w:rPr>
                <w:rFonts w:hint="eastAsia" w:hAnsi="宋体" w:eastAsia="宋体"/>
                <w:bCs/>
                <w:color w:val="auto"/>
                <w:sz w:val="22"/>
                <w:szCs w:val="22"/>
                <w:highlight w:val="none"/>
              </w:rPr>
            </w:pPr>
            <w:r>
              <w:rPr>
                <w:rFonts w:hint="eastAsia" w:hAnsi="宋体" w:eastAsia="宋体"/>
                <w:bCs/>
                <w:color w:val="auto"/>
                <w:sz w:val="22"/>
                <w:szCs w:val="22"/>
                <w:highlight w:val="none"/>
              </w:rPr>
              <w:t>单价</w:t>
            </w:r>
          </w:p>
        </w:tc>
        <w:tc>
          <w:tcPr>
            <w:tcW w:w="1940" w:type="dxa"/>
            <w:vAlign w:val="center"/>
          </w:tcPr>
          <w:p w14:paraId="02507A17">
            <w:pPr>
              <w:pStyle w:val="19"/>
              <w:spacing w:line="440" w:lineRule="atLeast"/>
              <w:jc w:val="center"/>
              <w:rPr>
                <w:rFonts w:hint="eastAsia" w:hAnsi="宋体" w:eastAsia="宋体"/>
                <w:bCs/>
                <w:color w:val="auto"/>
                <w:sz w:val="22"/>
                <w:szCs w:val="22"/>
                <w:highlight w:val="none"/>
              </w:rPr>
            </w:pPr>
            <w:r>
              <w:rPr>
                <w:rFonts w:hint="eastAsia" w:hAnsi="宋体" w:eastAsia="宋体"/>
                <w:bCs/>
                <w:color w:val="auto"/>
                <w:sz w:val="22"/>
                <w:szCs w:val="22"/>
                <w:highlight w:val="none"/>
              </w:rPr>
              <w:t>备 注</w:t>
            </w:r>
          </w:p>
        </w:tc>
      </w:tr>
      <w:tr w14:paraId="1C5D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right w:val="single" w:color="auto" w:sz="4" w:space="0"/>
            </w:tcBorders>
          </w:tcPr>
          <w:p w14:paraId="5E271DEE">
            <w:pPr>
              <w:pStyle w:val="19"/>
              <w:spacing w:line="440" w:lineRule="atLeast"/>
              <w:jc w:val="center"/>
              <w:rPr>
                <w:rFonts w:hint="eastAsia" w:hAnsi="宋体" w:eastAsia="宋体"/>
                <w:b/>
                <w:color w:val="auto"/>
                <w:sz w:val="22"/>
                <w:szCs w:val="22"/>
                <w:highlight w:val="none"/>
              </w:rPr>
            </w:pPr>
          </w:p>
        </w:tc>
        <w:tc>
          <w:tcPr>
            <w:tcW w:w="1447" w:type="dxa"/>
            <w:tcBorders>
              <w:top w:val="single" w:color="auto" w:sz="4" w:space="0"/>
              <w:left w:val="single" w:color="auto" w:sz="4" w:space="0"/>
              <w:right w:val="single" w:color="auto" w:sz="4" w:space="0"/>
            </w:tcBorders>
          </w:tcPr>
          <w:p w14:paraId="0901877F">
            <w:pPr>
              <w:pStyle w:val="19"/>
              <w:spacing w:line="440" w:lineRule="atLeast"/>
              <w:jc w:val="center"/>
              <w:rPr>
                <w:rFonts w:hint="eastAsia" w:hAnsi="宋体" w:eastAsia="宋体"/>
                <w:b/>
                <w:color w:val="auto"/>
                <w:sz w:val="22"/>
                <w:szCs w:val="22"/>
                <w:highlight w:val="none"/>
              </w:rPr>
            </w:pPr>
          </w:p>
        </w:tc>
        <w:tc>
          <w:tcPr>
            <w:tcW w:w="1875" w:type="dxa"/>
            <w:tcBorders>
              <w:top w:val="single" w:color="auto" w:sz="4" w:space="0"/>
              <w:left w:val="single" w:color="auto" w:sz="4" w:space="0"/>
              <w:right w:val="single" w:color="auto" w:sz="4" w:space="0"/>
            </w:tcBorders>
          </w:tcPr>
          <w:p w14:paraId="78063D03">
            <w:pPr>
              <w:pStyle w:val="19"/>
              <w:spacing w:line="440" w:lineRule="atLeast"/>
              <w:jc w:val="center"/>
              <w:rPr>
                <w:rFonts w:hint="eastAsia" w:hAnsi="宋体" w:eastAsia="宋体"/>
                <w:b/>
                <w:color w:val="auto"/>
                <w:sz w:val="22"/>
                <w:szCs w:val="22"/>
                <w:highlight w:val="none"/>
              </w:rPr>
            </w:pPr>
          </w:p>
        </w:tc>
        <w:tc>
          <w:tcPr>
            <w:tcW w:w="1200" w:type="dxa"/>
            <w:tcBorders>
              <w:top w:val="single" w:color="auto" w:sz="4" w:space="0"/>
              <w:left w:val="single" w:color="auto" w:sz="4" w:space="0"/>
              <w:right w:val="single" w:color="auto" w:sz="4" w:space="0"/>
            </w:tcBorders>
          </w:tcPr>
          <w:p w14:paraId="5CB7FC5D">
            <w:pPr>
              <w:pStyle w:val="19"/>
              <w:spacing w:line="440" w:lineRule="atLeast"/>
              <w:jc w:val="center"/>
              <w:rPr>
                <w:rFonts w:hint="eastAsia" w:hAnsi="宋体" w:eastAsia="宋体"/>
                <w:b/>
                <w:color w:val="auto"/>
                <w:sz w:val="22"/>
                <w:szCs w:val="22"/>
                <w:highlight w:val="none"/>
              </w:rPr>
            </w:pPr>
          </w:p>
        </w:tc>
        <w:tc>
          <w:tcPr>
            <w:tcW w:w="2438" w:type="dxa"/>
            <w:tcBorders>
              <w:top w:val="single" w:color="auto" w:sz="4" w:space="0"/>
              <w:left w:val="single" w:color="auto" w:sz="4" w:space="0"/>
              <w:right w:val="single" w:color="auto" w:sz="4" w:space="0"/>
            </w:tcBorders>
          </w:tcPr>
          <w:p w14:paraId="4A9294A5">
            <w:pPr>
              <w:pStyle w:val="19"/>
              <w:spacing w:line="440" w:lineRule="atLeast"/>
              <w:jc w:val="center"/>
              <w:rPr>
                <w:rFonts w:hint="eastAsia" w:hAnsi="宋体" w:eastAsia="宋体"/>
                <w:b/>
                <w:color w:val="auto"/>
                <w:sz w:val="22"/>
                <w:szCs w:val="22"/>
                <w:highlight w:val="none"/>
              </w:rPr>
            </w:pPr>
          </w:p>
        </w:tc>
        <w:tc>
          <w:tcPr>
            <w:tcW w:w="1940" w:type="dxa"/>
            <w:tcBorders>
              <w:top w:val="single" w:color="auto" w:sz="4" w:space="0"/>
              <w:left w:val="single" w:color="auto" w:sz="4" w:space="0"/>
              <w:right w:val="single" w:color="auto" w:sz="4" w:space="0"/>
            </w:tcBorders>
          </w:tcPr>
          <w:p w14:paraId="12E8AAEA">
            <w:pPr>
              <w:pStyle w:val="19"/>
              <w:spacing w:line="440" w:lineRule="atLeast"/>
              <w:jc w:val="center"/>
              <w:rPr>
                <w:rFonts w:hint="eastAsia" w:hAnsi="宋体" w:eastAsia="宋体"/>
                <w:b/>
                <w:color w:val="auto"/>
                <w:sz w:val="22"/>
                <w:szCs w:val="22"/>
                <w:highlight w:val="none"/>
              </w:rPr>
            </w:pPr>
          </w:p>
        </w:tc>
      </w:tr>
      <w:tr w14:paraId="36C1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right w:val="single" w:color="auto" w:sz="4" w:space="0"/>
            </w:tcBorders>
          </w:tcPr>
          <w:p w14:paraId="786F2B15">
            <w:pPr>
              <w:pStyle w:val="19"/>
              <w:spacing w:line="440" w:lineRule="atLeast"/>
              <w:jc w:val="center"/>
              <w:rPr>
                <w:rFonts w:hint="eastAsia" w:hAnsi="宋体" w:eastAsia="宋体"/>
                <w:b/>
                <w:color w:val="auto"/>
                <w:sz w:val="22"/>
                <w:szCs w:val="22"/>
                <w:highlight w:val="none"/>
              </w:rPr>
            </w:pPr>
          </w:p>
        </w:tc>
        <w:tc>
          <w:tcPr>
            <w:tcW w:w="1447" w:type="dxa"/>
            <w:tcBorders>
              <w:top w:val="single" w:color="auto" w:sz="4" w:space="0"/>
              <w:left w:val="single" w:color="auto" w:sz="4" w:space="0"/>
              <w:right w:val="single" w:color="auto" w:sz="4" w:space="0"/>
            </w:tcBorders>
          </w:tcPr>
          <w:p w14:paraId="71D11A94">
            <w:pPr>
              <w:pStyle w:val="19"/>
              <w:spacing w:line="440" w:lineRule="atLeast"/>
              <w:jc w:val="center"/>
              <w:rPr>
                <w:rFonts w:hint="eastAsia" w:hAnsi="宋体" w:eastAsia="宋体"/>
                <w:b/>
                <w:color w:val="auto"/>
                <w:sz w:val="22"/>
                <w:szCs w:val="22"/>
                <w:highlight w:val="none"/>
              </w:rPr>
            </w:pPr>
          </w:p>
        </w:tc>
        <w:tc>
          <w:tcPr>
            <w:tcW w:w="1875" w:type="dxa"/>
            <w:tcBorders>
              <w:top w:val="single" w:color="auto" w:sz="4" w:space="0"/>
              <w:left w:val="single" w:color="auto" w:sz="4" w:space="0"/>
              <w:right w:val="single" w:color="auto" w:sz="4" w:space="0"/>
            </w:tcBorders>
          </w:tcPr>
          <w:p w14:paraId="226FFD36">
            <w:pPr>
              <w:pStyle w:val="19"/>
              <w:spacing w:line="440" w:lineRule="atLeast"/>
              <w:jc w:val="center"/>
              <w:rPr>
                <w:rFonts w:hint="eastAsia" w:hAnsi="宋体" w:eastAsia="宋体"/>
                <w:b/>
                <w:color w:val="auto"/>
                <w:sz w:val="22"/>
                <w:szCs w:val="22"/>
                <w:highlight w:val="none"/>
              </w:rPr>
            </w:pPr>
          </w:p>
        </w:tc>
        <w:tc>
          <w:tcPr>
            <w:tcW w:w="1200" w:type="dxa"/>
            <w:tcBorders>
              <w:top w:val="single" w:color="auto" w:sz="4" w:space="0"/>
              <w:left w:val="single" w:color="auto" w:sz="4" w:space="0"/>
              <w:right w:val="single" w:color="auto" w:sz="4" w:space="0"/>
            </w:tcBorders>
          </w:tcPr>
          <w:p w14:paraId="4177338C">
            <w:pPr>
              <w:pStyle w:val="19"/>
              <w:spacing w:line="440" w:lineRule="atLeast"/>
              <w:jc w:val="center"/>
              <w:rPr>
                <w:rFonts w:hint="eastAsia" w:hAnsi="宋体" w:eastAsia="宋体"/>
                <w:b/>
                <w:color w:val="auto"/>
                <w:sz w:val="22"/>
                <w:szCs w:val="22"/>
                <w:highlight w:val="none"/>
              </w:rPr>
            </w:pPr>
          </w:p>
        </w:tc>
        <w:tc>
          <w:tcPr>
            <w:tcW w:w="2438" w:type="dxa"/>
            <w:tcBorders>
              <w:top w:val="single" w:color="auto" w:sz="4" w:space="0"/>
              <w:left w:val="single" w:color="auto" w:sz="4" w:space="0"/>
              <w:right w:val="single" w:color="auto" w:sz="4" w:space="0"/>
            </w:tcBorders>
          </w:tcPr>
          <w:p w14:paraId="7E0161E8">
            <w:pPr>
              <w:pStyle w:val="19"/>
              <w:spacing w:line="440" w:lineRule="atLeast"/>
              <w:jc w:val="center"/>
              <w:rPr>
                <w:rFonts w:hint="eastAsia" w:hAnsi="宋体" w:eastAsia="宋体"/>
                <w:b/>
                <w:color w:val="auto"/>
                <w:sz w:val="22"/>
                <w:szCs w:val="22"/>
                <w:highlight w:val="none"/>
              </w:rPr>
            </w:pPr>
          </w:p>
        </w:tc>
        <w:tc>
          <w:tcPr>
            <w:tcW w:w="1940" w:type="dxa"/>
            <w:tcBorders>
              <w:top w:val="single" w:color="auto" w:sz="4" w:space="0"/>
              <w:left w:val="single" w:color="auto" w:sz="4" w:space="0"/>
              <w:right w:val="single" w:color="auto" w:sz="4" w:space="0"/>
            </w:tcBorders>
          </w:tcPr>
          <w:p w14:paraId="4D4BB0D1">
            <w:pPr>
              <w:pStyle w:val="19"/>
              <w:spacing w:line="440" w:lineRule="atLeast"/>
              <w:jc w:val="center"/>
              <w:rPr>
                <w:rFonts w:hint="eastAsia" w:hAnsi="宋体" w:eastAsia="宋体"/>
                <w:b/>
                <w:color w:val="auto"/>
                <w:sz w:val="22"/>
                <w:szCs w:val="22"/>
                <w:highlight w:val="none"/>
              </w:rPr>
            </w:pPr>
          </w:p>
        </w:tc>
      </w:tr>
      <w:tr w14:paraId="2152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right w:val="single" w:color="auto" w:sz="4" w:space="0"/>
            </w:tcBorders>
          </w:tcPr>
          <w:p w14:paraId="4698876D">
            <w:pPr>
              <w:pStyle w:val="19"/>
              <w:spacing w:line="440" w:lineRule="atLeast"/>
              <w:jc w:val="center"/>
              <w:rPr>
                <w:rFonts w:hint="eastAsia" w:hAnsi="宋体" w:eastAsia="宋体"/>
                <w:b/>
                <w:color w:val="auto"/>
                <w:sz w:val="22"/>
                <w:szCs w:val="22"/>
                <w:highlight w:val="none"/>
              </w:rPr>
            </w:pPr>
          </w:p>
        </w:tc>
        <w:tc>
          <w:tcPr>
            <w:tcW w:w="1447" w:type="dxa"/>
            <w:tcBorders>
              <w:top w:val="single" w:color="auto" w:sz="4" w:space="0"/>
              <w:left w:val="single" w:color="auto" w:sz="4" w:space="0"/>
              <w:right w:val="single" w:color="auto" w:sz="4" w:space="0"/>
            </w:tcBorders>
          </w:tcPr>
          <w:p w14:paraId="06C68884">
            <w:pPr>
              <w:pStyle w:val="19"/>
              <w:spacing w:line="440" w:lineRule="atLeast"/>
              <w:jc w:val="center"/>
              <w:rPr>
                <w:rFonts w:hint="eastAsia" w:hAnsi="宋体" w:eastAsia="宋体"/>
                <w:b/>
                <w:color w:val="auto"/>
                <w:sz w:val="22"/>
                <w:szCs w:val="22"/>
                <w:highlight w:val="none"/>
              </w:rPr>
            </w:pPr>
          </w:p>
        </w:tc>
        <w:tc>
          <w:tcPr>
            <w:tcW w:w="1875" w:type="dxa"/>
            <w:tcBorders>
              <w:top w:val="single" w:color="auto" w:sz="4" w:space="0"/>
              <w:left w:val="single" w:color="auto" w:sz="4" w:space="0"/>
              <w:right w:val="single" w:color="auto" w:sz="4" w:space="0"/>
            </w:tcBorders>
          </w:tcPr>
          <w:p w14:paraId="2051A189">
            <w:pPr>
              <w:pStyle w:val="19"/>
              <w:spacing w:line="440" w:lineRule="atLeast"/>
              <w:jc w:val="center"/>
              <w:rPr>
                <w:rFonts w:hint="eastAsia" w:hAnsi="宋体" w:eastAsia="宋体"/>
                <w:b/>
                <w:color w:val="auto"/>
                <w:sz w:val="22"/>
                <w:szCs w:val="22"/>
                <w:highlight w:val="none"/>
              </w:rPr>
            </w:pPr>
          </w:p>
        </w:tc>
        <w:tc>
          <w:tcPr>
            <w:tcW w:w="1200" w:type="dxa"/>
            <w:tcBorders>
              <w:top w:val="single" w:color="auto" w:sz="4" w:space="0"/>
              <w:left w:val="single" w:color="auto" w:sz="4" w:space="0"/>
              <w:right w:val="single" w:color="auto" w:sz="4" w:space="0"/>
            </w:tcBorders>
          </w:tcPr>
          <w:p w14:paraId="2111CB10">
            <w:pPr>
              <w:pStyle w:val="19"/>
              <w:spacing w:line="440" w:lineRule="atLeast"/>
              <w:jc w:val="center"/>
              <w:rPr>
                <w:rFonts w:hint="eastAsia" w:hAnsi="宋体" w:eastAsia="宋体"/>
                <w:b/>
                <w:color w:val="auto"/>
                <w:sz w:val="22"/>
                <w:szCs w:val="22"/>
                <w:highlight w:val="none"/>
              </w:rPr>
            </w:pPr>
          </w:p>
        </w:tc>
        <w:tc>
          <w:tcPr>
            <w:tcW w:w="2438" w:type="dxa"/>
            <w:tcBorders>
              <w:top w:val="single" w:color="auto" w:sz="4" w:space="0"/>
              <w:left w:val="single" w:color="auto" w:sz="4" w:space="0"/>
              <w:right w:val="single" w:color="auto" w:sz="4" w:space="0"/>
            </w:tcBorders>
          </w:tcPr>
          <w:p w14:paraId="21D28DD9">
            <w:pPr>
              <w:pStyle w:val="19"/>
              <w:spacing w:line="440" w:lineRule="atLeast"/>
              <w:jc w:val="center"/>
              <w:rPr>
                <w:rFonts w:hint="eastAsia" w:hAnsi="宋体" w:eastAsia="宋体"/>
                <w:b/>
                <w:color w:val="auto"/>
                <w:sz w:val="22"/>
                <w:szCs w:val="22"/>
                <w:highlight w:val="none"/>
              </w:rPr>
            </w:pPr>
          </w:p>
        </w:tc>
        <w:tc>
          <w:tcPr>
            <w:tcW w:w="1940" w:type="dxa"/>
            <w:tcBorders>
              <w:top w:val="single" w:color="auto" w:sz="4" w:space="0"/>
              <w:left w:val="single" w:color="auto" w:sz="4" w:space="0"/>
              <w:right w:val="single" w:color="auto" w:sz="4" w:space="0"/>
            </w:tcBorders>
          </w:tcPr>
          <w:p w14:paraId="5B95E120">
            <w:pPr>
              <w:pStyle w:val="19"/>
              <w:spacing w:line="440" w:lineRule="atLeast"/>
              <w:jc w:val="center"/>
              <w:rPr>
                <w:rFonts w:hint="eastAsia" w:hAnsi="宋体" w:eastAsia="宋体"/>
                <w:b/>
                <w:color w:val="auto"/>
                <w:sz w:val="22"/>
                <w:szCs w:val="22"/>
                <w:highlight w:val="none"/>
              </w:rPr>
            </w:pPr>
          </w:p>
        </w:tc>
      </w:tr>
      <w:tr w14:paraId="5821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right w:val="single" w:color="auto" w:sz="4" w:space="0"/>
            </w:tcBorders>
          </w:tcPr>
          <w:p w14:paraId="78BDCAC0">
            <w:pPr>
              <w:pStyle w:val="19"/>
              <w:spacing w:line="440" w:lineRule="atLeast"/>
              <w:jc w:val="center"/>
              <w:rPr>
                <w:rFonts w:hint="eastAsia" w:hAnsi="宋体" w:eastAsia="宋体"/>
                <w:b/>
                <w:color w:val="auto"/>
                <w:sz w:val="22"/>
                <w:szCs w:val="22"/>
                <w:highlight w:val="none"/>
              </w:rPr>
            </w:pPr>
          </w:p>
        </w:tc>
        <w:tc>
          <w:tcPr>
            <w:tcW w:w="1447" w:type="dxa"/>
            <w:tcBorders>
              <w:top w:val="single" w:color="auto" w:sz="4" w:space="0"/>
              <w:left w:val="single" w:color="auto" w:sz="4" w:space="0"/>
              <w:right w:val="single" w:color="auto" w:sz="4" w:space="0"/>
            </w:tcBorders>
          </w:tcPr>
          <w:p w14:paraId="5DD0DD29">
            <w:pPr>
              <w:pStyle w:val="19"/>
              <w:spacing w:line="440" w:lineRule="atLeast"/>
              <w:jc w:val="center"/>
              <w:rPr>
                <w:rFonts w:hint="eastAsia" w:hAnsi="宋体" w:eastAsia="宋体"/>
                <w:b/>
                <w:color w:val="auto"/>
                <w:sz w:val="22"/>
                <w:szCs w:val="22"/>
                <w:highlight w:val="none"/>
              </w:rPr>
            </w:pPr>
          </w:p>
        </w:tc>
        <w:tc>
          <w:tcPr>
            <w:tcW w:w="1875" w:type="dxa"/>
            <w:tcBorders>
              <w:top w:val="single" w:color="auto" w:sz="4" w:space="0"/>
              <w:left w:val="single" w:color="auto" w:sz="4" w:space="0"/>
              <w:right w:val="single" w:color="auto" w:sz="4" w:space="0"/>
            </w:tcBorders>
          </w:tcPr>
          <w:p w14:paraId="518338D5">
            <w:pPr>
              <w:pStyle w:val="19"/>
              <w:spacing w:line="440" w:lineRule="atLeast"/>
              <w:jc w:val="center"/>
              <w:rPr>
                <w:rFonts w:hint="eastAsia" w:hAnsi="宋体" w:eastAsia="宋体"/>
                <w:b/>
                <w:color w:val="auto"/>
                <w:sz w:val="22"/>
                <w:szCs w:val="22"/>
                <w:highlight w:val="none"/>
              </w:rPr>
            </w:pPr>
          </w:p>
        </w:tc>
        <w:tc>
          <w:tcPr>
            <w:tcW w:w="1200" w:type="dxa"/>
            <w:tcBorders>
              <w:top w:val="single" w:color="auto" w:sz="4" w:space="0"/>
              <w:left w:val="single" w:color="auto" w:sz="4" w:space="0"/>
              <w:right w:val="single" w:color="auto" w:sz="4" w:space="0"/>
            </w:tcBorders>
          </w:tcPr>
          <w:p w14:paraId="564B6F94">
            <w:pPr>
              <w:pStyle w:val="19"/>
              <w:spacing w:line="440" w:lineRule="atLeast"/>
              <w:jc w:val="center"/>
              <w:rPr>
                <w:rFonts w:hint="eastAsia" w:hAnsi="宋体" w:eastAsia="宋体"/>
                <w:b/>
                <w:color w:val="auto"/>
                <w:sz w:val="22"/>
                <w:szCs w:val="22"/>
                <w:highlight w:val="none"/>
              </w:rPr>
            </w:pPr>
          </w:p>
        </w:tc>
        <w:tc>
          <w:tcPr>
            <w:tcW w:w="2438" w:type="dxa"/>
            <w:tcBorders>
              <w:top w:val="single" w:color="auto" w:sz="4" w:space="0"/>
              <w:left w:val="single" w:color="auto" w:sz="4" w:space="0"/>
              <w:right w:val="single" w:color="auto" w:sz="4" w:space="0"/>
            </w:tcBorders>
          </w:tcPr>
          <w:p w14:paraId="696DB881">
            <w:pPr>
              <w:pStyle w:val="19"/>
              <w:spacing w:line="440" w:lineRule="atLeast"/>
              <w:jc w:val="center"/>
              <w:rPr>
                <w:rFonts w:hint="eastAsia" w:hAnsi="宋体" w:eastAsia="宋体"/>
                <w:b/>
                <w:color w:val="auto"/>
                <w:sz w:val="22"/>
                <w:szCs w:val="22"/>
                <w:highlight w:val="none"/>
              </w:rPr>
            </w:pPr>
          </w:p>
        </w:tc>
        <w:tc>
          <w:tcPr>
            <w:tcW w:w="1940" w:type="dxa"/>
            <w:tcBorders>
              <w:top w:val="single" w:color="auto" w:sz="4" w:space="0"/>
              <w:left w:val="single" w:color="auto" w:sz="4" w:space="0"/>
              <w:right w:val="single" w:color="auto" w:sz="4" w:space="0"/>
            </w:tcBorders>
          </w:tcPr>
          <w:p w14:paraId="55748578">
            <w:pPr>
              <w:pStyle w:val="19"/>
              <w:spacing w:line="440" w:lineRule="atLeast"/>
              <w:jc w:val="center"/>
              <w:rPr>
                <w:rFonts w:hint="eastAsia" w:hAnsi="宋体" w:eastAsia="宋体"/>
                <w:b/>
                <w:color w:val="auto"/>
                <w:sz w:val="22"/>
                <w:szCs w:val="22"/>
                <w:highlight w:val="none"/>
              </w:rPr>
            </w:pPr>
          </w:p>
        </w:tc>
      </w:tr>
      <w:tr w14:paraId="5714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right w:val="single" w:color="auto" w:sz="4" w:space="0"/>
            </w:tcBorders>
          </w:tcPr>
          <w:p w14:paraId="48023E16">
            <w:pPr>
              <w:pStyle w:val="19"/>
              <w:spacing w:line="440" w:lineRule="atLeast"/>
              <w:jc w:val="center"/>
              <w:rPr>
                <w:rFonts w:hint="eastAsia" w:hAnsi="宋体" w:eastAsia="宋体"/>
                <w:b/>
                <w:color w:val="auto"/>
                <w:sz w:val="22"/>
                <w:szCs w:val="22"/>
                <w:highlight w:val="none"/>
              </w:rPr>
            </w:pPr>
          </w:p>
        </w:tc>
        <w:tc>
          <w:tcPr>
            <w:tcW w:w="1447" w:type="dxa"/>
            <w:tcBorders>
              <w:top w:val="single" w:color="auto" w:sz="4" w:space="0"/>
              <w:left w:val="single" w:color="auto" w:sz="4" w:space="0"/>
              <w:right w:val="single" w:color="auto" w:sz="4" w:space="0"/>
            </w:tcBorders>
          </w:tcPr>
          <w:p w14:paraId="52BBFBFA">
            <w:pPr>
              <w:pStyle w:val="19"/>
              <w:spacing w:line="440" w:lineRule="atLeast"/>
              <w:jc w:val="center"/>
              <w:rPr>
                <w:rFonts w:hint="eastAsia" w:hAnsi="宋体" w:eastAsia="宋体"/>
                <w:b/>
                <w:color w:val="auto"/>
                <w:sz w:val="22"/>
                <w:szCs w:val="22"/>
                <w:highlight w:val="none"/>
              </w:rPr>
            </w:pPr>
          </w:p>
        </w:tc>
        <w:tc>
          <w:tcPr>
            <w:tcW w:w="1875" w:type="dxa"/>
            <w:tcBorders>
              <w:top w:val="single" w:color="auto" w:sz="4" w:space="0"/>
              <w:left w:val="single" w:color="auto" w:sz="4" w:space="0"/>
              <w:right w:val="single" w:color="auto" w:sz="4" w:space="0"/>
            </w:tcBorders>
          </w:tcPr>
          <w:p w14:paraId="44784A6A">
            <w:pPr>
              <w:pStyle w:val="19"/>
              <w:spacing w:line="440" w:lineRule="atLeast"/>
              <w:jc w:val="center"/>
              <w:rPr>
                <w:rFonts w:hint="eastAsia" w:hAnsi="宋体" w:eastAsia="宋体"/>
                <w:b/>
                <w:color w:val="auto"/>
                <w:sz w:val="22"/>
                <w:szCs w:val="22"/>
                <w:highlight w:val="none"/>
              </w:rPr>
            </w:pPr>
          </w:p>
        </w:tc>
        <w:tc>
          <w:tcPr>
            <w:tcW w:w="1200" w:type="dxa"/>
            <w:tcBorders>
              <w:top w:val="single" w:color="auto" w:sz="4" w:space="0"/>
              <w:left w:val="single" w:color="auto" w:sz="4" w:space="0"/>
              <w:right w:val="single" w:color="auto" w:sz="4" w:space="0"/>
            </w:tcBorders>
          </w:tcPr>
          <w:p w14:paraId="5AA03956">
            <w:pPr>
              <w:pStyle w:val="19"/>
              <w:spacing w:line="440" w:lineRule="atLeast"/>
              <w:jc w:val="center"/>
              <w:rPr>
                <w:rFonts w:hint="eastAsia" w:hAnsi="宋体" w:eastAsia="宋体"/>
                <w:b/>
                <w:color w:val="auto"/>
                <w:sz w:val="22"/>
                <w:szCs w:val="22"/>
                <w:highlight w:val="none"/>
              </w:rPr>
            </w:pPr>
          </w:p>
        </w:tc>
        <w:tc>
          <w:tcPr>
            <w:tcW w:w="2438" w:type="dxa"/>
            <w:tcBorders>
              <w:top w:val="single" w:color="auto" w:sz="4" w:space="0"/>
              <w:left w:val="single" w:color="auto" w:sz="4" w:space="0"/>
              <w:right w:val="single" w:color="auto" w:sz="4" w:space="0"/>
            </w:tcBorders>
          </w:tcPr>
          <w:p w14:paraId="6C780032">
            <w:pPr>
              <w:pStyle w:val="19"/>
              <w:spacing w:line="440" w:lineRule="atLeast"/>
              <w:jc w:val="center"/>
              <w:rPr>
                <w:rFonts w:hint="eastAsia" w:hAnsi="宋体" w:eastAsia="宋体"/>
                <w:b/>
                <w:color w:val="auto"/>
                <w:sz w:val="22"/>
                <w:szCs w:val="22"/>
                <w:highlight w:val="none"/>
              </w:rPr>
            </w:pPr>
          </w:p>
        </w:tc>
        <w:tc>
          <w:tcPr>
            <w:tcW w:w="1940" w:type="dxa"/>
            <w:tcBorders>
              <w:top w:val="single" w:color="auto" w:sz="4" w:space="0"/>
              <w:left w:val="single" w:color="auto" w:sz="4" w:space="0"/>
              <w:right w:val="single" w:color="auto" w:sz="4" w:space="0"/>
            </w:tcBorders>
          </w:tcPr>
          <w:p w14:paraId="7DB262A0">
            <w:pPr>
              <w:pStyle w:val="19"/>
              <w:spacing w:line="440" w:lineRule="atLeast"/>
              <w:jc w:val="center"/>
              <w:rPr>
                <w:rFonts w:hint="eastAsia" w:hAnsi="宋体" w:eastAsia="宋体"/>
                <w:b/>
                <w:color w:val="auto"/>
                <w:sz w:val="22"/>
                <w:szCs w:val="22"/>
                <w:highlight w:val="none"/>
              </w:rPr>
            </w:pPr>
          </w:p>
        </w:tc>
      </w:tr>
      <w:tr w14:paraId="6B1D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right w:val="single" w:color="auto" w:sz="4" w:space="0"/>
            </w:tcBorders>
          </w:tcPr>
          <w:p w14:paraId="2BF1F061">
            <w:pPr>
              <w:pStyle w:val="19"/>
              <w:spacing w:line="440" w:lineRule="atLeast"/>
              <w:jc w:val="center"/>
              <w:rPr>
                <w:rFonts w:hint="eastAsia" w:hAnsi="宋体" w:eastAsia="宋体"/>
                <w:b/>
                <w:color w:val="auto"/>
                <w:sz w:val="22"/>
                <w:szCs w:val="22"/>
                <w:highlight w:val="none"/>
              </w:rPr>
            </w:pPr>
          </w:p>
        </w:tc>
        <w:tc>
          <w:tcPr>
            <w:tcW w:w="1447" w:type="dxa"/>
            <w:tcBorders>
              <w:top w:val="single" w:color="auto" w:sz="4" w:space="0"/>
              <w:left w:val="single" w:color="auto" w:sz="4" w:space="0"/>
              <w:right w:val="single" w:color="auto" w:sz="4" w:space="0"/>
            </w:tcBorders>
          </w:tcPr>
          <w:p w14:paraId="4BEFB49E">
            <w:pPr>
              <w:pStyle w:val="19"/>
              <w:spacing w:line="440" w:lineRule="atLeast"/>
              <w:jc w:val="center"/>
              <w:rPr>
                <w:rFonts w:hint="eastAsia" w:hAnsi="宋体" w:eastAsia="宋体"/>
                <w:b/>
                <w:color w:val="auto"/>
                <w:sz w:val="22"/>
                <w:szCs w:val="22"/>
                <w:highlight w:val="none"/>
              </w:rPr>
            </w:pPr>
          </w:p>
        </w:tc>
        <w:tc>
          <w:tcPr>
            <w:tcW w:w="1875" w:type="dxa"/>
            <w:tcBorders>
              <w:top w:val="single" w:color="auto" w:sz="4" w:space="0"/>
              <w:left w:val="single" w:color="auto" w:sz="4" w:space="0"/>
              <w:right w:val="single" w:color="auto" w:sz="4" w:space="0"/>
            </w:tcBorders>
          </w:tcPr>
          <w:p w14:paraId="2CA48F4C">
            <w:pPr>
              <w:pStyle w:val="19"/>
              <w:spacing w:line="440" w:lineRule="atLeast"/>
              <w:jc w:val="center"/>
              <w:rPr>
                <w:rFonts w:hint="eastAsia" w:hAnsi="宋体" w:eastAsia="宋体"/>
                <w:b/>
                <w:color w:val="auto"/>
                <w:sz w:val="22"/>
                <w:szCs w:val="22"/>
                <w:highlight w:val="none"/>
              </w:rPr>
            </w:pPr>
          </w:p>
        </w:tc>
        <w:tc>
          <w:tcPr>
            <w:tcW w:w="1200" w:type="dxa"/>
            <w:tcBorders>
              <w:top w:val="single" w:color="auto" w:sz="4" w:space="0"/>
              <w:left w:val="single" w:color="auto" w:sz="4" w:space="0"/>
              <w:right w:val="single" w:color="auto" w:sz="4" w:space="0"/>
            </w:tcBorders>
          </w:tcPr>
          <w:p w14:paraId="5BDDBB0F">
            <w:pPr>
              <w:pStyle w:val="19"/>
              <w:spacing w:line="440" w:lineRule="atLeast"/>
              <w:jc w:val="center"/>
              <w:rPr>
                <w:rFonts w:hint="eastAsia" w:hAnsi="宋体" w:eastAsia="宋体"/>
                <w:b/>
                <w:color w:val="auto"/>
                <w:sz w:val="22"/>
                <w:szCs w:val="22"/>
                <w:highlight w:val="none"/>
              </w:rPr>
            </w:pPr>
          </w:p>
        </w:tc>
        <w:tc>
          <w:tcPr>
            <w:tcW w:w="2438" w:type="dxa"/>
            <w:tcBorders>
              <w:top w:val="single" w:color="auto" w:sz="4" w:space="0"/>
              <w:left w:val="single" w:color="auto" w:sz="4" w:space="0"/>
              <w:right w:val="single" w:color="auto" w:sz="4" w:space="0"/>
            </w:tcBorders>
          </w:tcPr>
          <w:p w14:paraId="73B106F2">
            <w:pPr>
              <w:pStyle w:val="19"/>
              <w:spacing w:line="440" w:lineRule="atLeast"/>
              <w:jc w:val="center"/>
              <w:rPr>
                <w:rFonts w:hint="eastAsia" w:hAnsi="宋体" w:eastAsia="宋体"/>
                <w:b/>
                <w:color w:val="auto"/>
                <w:sz w:val="22"/>
                <w:szCs w:val="22"/>
                <w:highlight w:val="none"/>
              </w:rPr>
            </w:pPr>
          </w:p>
        </w:tc>
        <w:tc>
          <w:tcPr>
            <w:tcW w:w="1940" w:type="dxa"/>
            <w:tcBorders>
              <w:top w:val="single" w:color="auto" w:sz="4" w:space="0"/>
              <w:left w:val="single" w:color="auto" w:sz="4" w:space="0"/>
              <w:right w:val="single" w:color="auto" w:sz="4" w:space="0"/>
            </w:tcBorders>
          </w:tcPr>
          <w:p w14:paraId="10C791B0">
            <w:pPr>
              <w:pStyle w:val="19"/>
              <w:spacing w:line="440" w:lineRule="atLeast"/>
              <w:jc w:val="center"/>
              <w:rPr>
                <w:rFonts w:hint="eastAsia" w:hAnsi="宋体" w:eastAsia="宋体"/>
                <w:b/>
                <w:color w:val="auto"/>
                <w:sz w:val="22"/>
                <w:szCs w:val="22"/>
                <w:highlight w:val="none"/>
              </w:rPr>
            </w:pPr>
          </w:p>
        </w:tc>
      </w:tr>
      <w:tr w14:paraId="3537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right w:val="single" w:color="auto" w:sz="4" w:space="0"/>
            </w:tcBorders>
          </w:tcPr>
          <w:p w14:paraId="2A0B5295">
            <w:pPr>
              <w:pStyle w:val="19"/>
              <w:spacing w:line="440" w:lineRule="atLeast"/>
              <w:jc w:val="center"/>
              <w:rPr>
                <w:rFonts w:hint="eastAsia" w:hAnsi="宋体" w:eastAsia="宋体"/>
                <w:b/>
                <w:color w:val="auto"/>
                <w:sz w:val="22"/>
                <w:szCs w:val="22"/>
                <w:highlight w:val="none"/>
              </w:rPr>
            </w:pPr>
          </w:p>
        </w:tc>
        <w:tc>
          <w:tcPr>
            <w:tcW w:w="1447" w:type="dxa"/>
            <w:tcBorders>
              <w:top w:val="single" w:color="auto" w:sz="4" w:space="0"/>
              <w:left w:val="single" w:color="auto" w:sz="4" w:space="0"/>
              <w:right w:val="single" w:color="auto" w:sz="4" w:space="0"/>
            </w:tcBorders>
          </w:tcPr>
          <w:p w14:paraId="17D38F70">
            <w:pPr>
              <w:pStyle w:val="19"/>
              <w:spacing w:line="440" w:lineRule="atLeast"/>
              <w:jc w:val="center"/>
              <w:rPr>
                <w:rFonts w:hint="eastAsia" w:hAnsi="宋体" w:eastAsia="宋体"/>
                <w:b/>
                <w:color w:val="auto"/>
                <w:sz w:val="22"/>
                <w:szCs w:val="22"/>
                <w:highlight w:val="none"/>
              </w:rPr>
            </w:pPr>
          </w:p>
        </w:tc>
        <w:tc>
          <w:tcPr>
            <w:tcW w:w="1875" w:type="dxa"/>
            <w:tcBorders>
              <w:top w:val="single" w:color="auto" w:sz="4" w:space="0"/>
              <w:left w:val="single" w:color="auto" w:sz="4" w:space="0"/>
              <w:right w:val="single" w:color="auto" w:sz="4" w:space="0"/>
            </w:tcBorders>
          </w:tcPr>
          <w:p w14:paraId="50F18B09">
            <w:pPr>
              <w:pStyle w:val="19"/>
              <w:spacing w:line="440" w:lineRule="atLeast"/>
              <w:jc w:val="center"/>
              <w:rPr>
                <w:rFonts w:hint="eastAsia" w:hAnsi="宋体" w:eastAsia="宋体"/>
                <w:b/>
                <w:color w:val="auto"/>
                <w:sz w:val="22"/>
                <w:szCs w:val="22"/>
                <w:highlight w:val="none"/>
              </w:rPr>
            </w:pPr>
          </w:p>
        </w:tc>
        <w:tc>
          <w:tcPr>
            <w:tcW w:w="1200" w:type="dxa"/>
            <w:tcBorders>
              <w:top w:val="single" w:color="auto" w:sz="4" w:space="0"/>
              <w:left w:val="single" w:color="auto" w:sz="4" w:space="0"/>
              <w:right w:val="single" w:color="auto" w:sz="4" w:space="0"/>
            </w:tcBorders>
          </w:tcPr>
          <w:p w14:paraId="42892709">
            <w:pPr>
              <w:pStyle w:val="19"/>
              <w:spacing w:line="440" w:lineRule="atLeast"/>
              <w:jc w:val="center"/>
              <w:rPr>
                <w:rFonts w:hint="eastAsia" w:hAnsi="宋体" w:eastAsia="宋体"/>
                <w:b/>
                <w:color w:val="auto"/>
                <w:sz w:val="22"/>
                <w:szCs w:val="22"/>
                <w:highlight w:val="none"/>
              </w:rPr>
            </w:pPr>
          </w:p>
        </w:tc>
        <w:tc>
          <w:tcPr>
            <w:tcW w:w="2438" w:type="dxa"/>
            <w:tcBorders>
              <w:top w:val="single" w:color="auto" w:sz="4" w:space="0"/>
              <w:left w:val="single" w:color="auto" w:sz="4" w:space="0"/>
              <w:right w:val="single" w:color="auto" w:sz="4" w:space="0"/>
            </w:tcBorders>
          </w:tcPr>
          <w:p w14:paraId="416FD14B">
            <w:pPr>
              <w:pStyle w:val="19"/>
              <w:spacing w:line="440" w:lineRule="atLeast"/>
              <w:jc w:val="center"/>
              <w:rPr>
                <w:rFonts w:hint="eastAsia" w:hAnsi="宋体" w:eastAsia="宋体"/>
                <w:b/>
                <w:color w:val="auto"/>
                <w:sz w:val="22"/>
                <w:szCs w:val="22"/>
                <w:highlight w:val="none"/>
              </w:rPr>
            </w:pPr>
          </w:p>
        </w:tc>
        <w:tc>
          <w:tcPr>
            <w:tcW w:w="1940" w:type="dxa"/>
            <w:tcBorders>
              <w:top w:val="single" w:color="auto" w:sz="4" w:space="0"/>
              <w:left w:val="single" w:color="auto" w:sz="4" w:space="0"/>
              <w:right w:val="single" w:color="auto" w:sz="4" w:space="0"/>
            </w:tcBorders>
          </w:tcPr>
          <w:p w14:paraId="3D88A361">
            <w:pPr>
              <w:pStyle w:val="19"/>
              <w:spacing w:line="440" w:lineRule="atLeast"/>
              <w:jc w:val="center"/>
              <w:rPr>
                <w:rFonts w:hint="eastAsia" w:hAnsi="宋体" w:eastAsia="宋体"/>
                <w:b/>
                <w:color w:val="auto"/>
                <w:sz w:val="22"/>
                <w:szCs w:val="22"/>
                <w:highlight w:val="none"/>
              </w:rPr>
            </w:pPr>
          </w:p>
        </w:tc>
      </w:tr>
      <w:tr w14:paraId="10400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right w:val="single" w:color="auto" w:sz="4" w:space="0"/>
            </w:tcBorders>
          </w:tcPr>
          <w:p w14:paraId="339D6159">
            <w:pPr>
              <w:pStyle w:val="19"/>
              <w:spacing w:line="440" w:lineRule="atLeast"/>
              <w:jc w:val="center"/>
              <w:rPr>
                <w:rFonts w:hint="eastAsia" w:hAnsi="宋体" w:eastAsia="宋体"/>
                <w:b/>
                <w:color w:val="auto"/>
                <w:sz w:val="22"/>
                <w:szCs w:val="22"/>
                <w:highlight w:val="none"/>
              </w:rPr>
            </w:pPr>
          </w:p>
        </w:tc>
        <w:tc>
          <w:tcPr>
            <w:tcW w:w="1447" w:type="dxa"/>
            <w:tcBorders>
              <w:top w:val="single" w:color="auto" w:sz="4" w:space="0"/>
              <w:left w:val="single" w:color="auto" w:sz="4" w:space="0"/>
              <w:right w:val="single" w:color="auto" w:sz="4" w:space="0"/>
            </w:tcBorders>
          </w:tcPr>
          <w:p w14:paraId="5761AFDB">
            <w:pPr>
              <w:pStyle w:val="19"/>
              <w:spacing w:line="440" w:lineRule="atLeast"/>
              <w:jc w:val="center"/>
              <w:rPr>
                <w:rFonts w:hint="eastAsia" w:hAnsi="宋体" w:eastAsia="宋体"/>
                <w:b/>
                <w:color w:val="auto"/>
                <w:sz w:val="22"/>
                <w:szCs w:val="22"/>
                <w:highlight w:val="none"/>
              </w:rPr>
            </w:pPr>
          </w:p>
        </w:tc>
        <w:tc>
          <w:tcPr>
            <w:tcW w:w="1875" w:type="dxa"/>
            <w:tcBorders>
              <w:top w:val="single" w:color="auto" w:sz="4" w:space="0"/>
              <w:left w:val="single" w:color="auto" w:sz="4" w:space="0"/>
              <w:right w:val="single" w:color="auto" w:sz="4" w:space="0"/>
            </w:tcBorders>
          </w:tcPr>
          <w:p w14:paraId="42FB83E5">
            <w:pPr>
              <w:pStyle w:val="19"/>
              <w:spacing w:line="440" w:lineRule="atLeast"/>
              <w:jc w:val="center"/>
              <w:rPr>
                <w:rFonts w:hint="eastAsia" w:hAnsi="宋体" w:eastAsia="宋体"/>
                <w:b/>
                <w:color w:val="auto"/>
                <w:sz w:val="22"/>
                <w:szCs w:val="22"/>
                <w:highlight w:val="none"/>
              </w:rPr>
            </w:pPr>
          </w:p>
        </w:tc>
        <w:tc>
          <w:tcPr>
            <w:tcW w:w="1200" w:type="dxa"/>
            <w:tcBorders>
              <w:top w:val="single" w:color="auto" w:sz="4" w:space="0"/>
              <w:left w:val="single" w:color="auto" w:sz="4" w:space="0"/>
              <w:right w:val="single" w:color="auto" w:sz="4" w:space="0"/>
            </w:tcBorders>
          </w:tcPr>
          <w:p w14:paraId="3ADC6D4A">
            <w:pPr>
              <w:pStyle w:val="19"/>
              <w:spacing w:line="440" w:lineRule="atLeast"/>
              <w:jc w:val="center"/>
              <w:rPr>
                <w:rFonts w:hint="eastAsia" w:hAnsi="宋体" w:eastAsia="宋体"/>
                <w:b/>
                <w:color w:val="auto"/>
                <w:sz w:val="22"/>
                <w:szCs w:val="22"/>
                <w:highlight w:val="none"/>
              </w:rPr>
            </w:pPr>
          </w:p>
        </w:tc>
        <w:tc>
          <w:tcPr>
            <w:tcW w:w="2438" w:type="dxa"/>
            <w:tcBorders>
              <w:top w:val="single" w:color="auto" w:sz="4" w:space="0"/>
              <w:left w:val="single" w:color="auto" w:sz="4" w:space="0"/>
              <w:right w:val="single" w:color="auto" w:sz="4" w:space="0"/>
            </w:tcBorders>
          </w:tcPr>
          <w:p w14:paraId="0B2EBAF8">
            <w:pPr>
              <w:pStyle w:val="19"/>
              <w:spacing w:line="440" w:lineRule="atLeast"/>
              <w:jc w:val="center"/>
              <w:rPr>
                <w:rFonts w:hint="eastAsia" w:hAnsi="宋体" w:eastAsia="宋体"/>
                <w:b/>
                <w:color w:val="auto"/>
                <w:sz w:val="22"/>
                <w:szCs w:val="22"/>
                <w:highlight w:val="none"/>
              </w:rPr>
            </w:pPr>
          </w:p>
        </w:tc>
        <w:tc>
          <w:tcPr>
            <w:tcW w:w="1940" w:type="dxa"/>
            <w:tcBorders>
              <w:top w:val="single" w:color="auto" w:sz="4" w:space="0"/>
              <w:left w:val="single" w:color="auto" w:sz="4" w:space="0"/>
              <w:right w:val="single" w:color="auto" w:sz="4" w:space="0"/>
            </w:tcBorders>
          </w:tcPr>
          <w:p w14:paraId="31EE9CE1">
            <w:pPr>
              <w:pStyle w:val="19"/>
              <w:spacing w:line="440" w:lineRule="atLeast"/>
              <w:jc w:val="center"/>
              <w:rPr>
                <w:rFonts w:hint="eastAsia" w:hAnsi="宋体" w:eastAsia="宋体"/>
                <w:b/>
                <w:color w:val="auto"/>
                <w:sz w:val="22"/>
                <w:szCs w:val="22"/>
                <w:highlight w:val="none"/>
              </w:rPr>
            </w:pPr>
          </w:p>
        </w:tc>
      </w:tr>
      <w:tr w14:paraId="20B8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right w:val="single" w:color="auto" w:sz="4" w:space="0"/>
            </w:tcBorders>
          </w:tcPr>
          <w:p w14:paraId="41C199C1">
            <w:pPr>
              <w:pStyle w:val="19"/>
              <w:spacing w:line="440" w:lineRule="atLeast"/>
              <w:jc w:val="center"/>
              <w:rPr>
                <w:rFonts w:hint="eastAsia" w:hAnsi="宋体" w:eastAsia="宋体"/>
                <w:b/>
                <w:color w:val="auto"/>
                <w:sz w:val="22"/>
                <w:szCs w:val="22"/>
                <w:highlight w:val="none"/>
              </w:rPr>
            </w:pPr>
          </w:p>
        </w:tc>
        <w:tc>
          <w:tcPr>
            <w:tcW w:w="1447" w:type="dxa"/>
            <w:tcBorders>
              <w:top w:val="single" w:color="auto" w:sz="4" w:space="0"/>
              <w:left w:val="single" w:color="auto" w:sz="4" w:space="0"/>
              <w:right w:val="single" w:color="auto" w:sz="4" w:space="0"/>
            </w:tcBorders>
          </w:tcPr>
          <w:p w14:paraId="3CC45129">
            <w:pPr>
              <w:pStyle w:val="19"/>
              <w:spacing w:line="440" w:lineRule="atLeast"/>
              <w:jc w:val="center"/>
              <w:rPr>
                <w:rFonts w:hint="eastAsia" w:hAnsi="宋体" w:eastAsia="宋体"/>
                <w:b/>
                <w:color w:val="auto"/>
                <w:sz w:val="22"/>
                <w:szCs w:val="22"/>
                <w:highlight w:val="none"/>
              </w:rPr>
            </w:pPr>
          </w:p>
        </w:tc>
        <w:tc>
          <w:tcPr>
            <w:tcW w:w="1875" w:type="dxa"/>
            <w:tcBorders>
              <w:top w:val="single" w:color="auto" w:sz="4" w:space="0"/>
              <w:left w:val="single" w:color="auto" w:sz="4" w:space="0"/>
              <w:right w:val="single" w:color="auto" w:sz="4" w:space="0"/>
            </w:tcBorders>
          </w:tcPr>
          <w:p w14:paraId="0AFFEB7E">
            <w:pPr>
              <w:pStyle w:val="19"/>
              <w:spacing w:line="440" w:lineRule="atLeast"/>
              <w:jc w:val="center"/>
              <w:rPr>
                <w:rFonts w:hint="eastAsia" w:hAnsi="宋体" w:eastAsia="宋体"/>
                <w:b/>
                <w:color w:val="auto"/>
                <w:sz w:val="22"/>
                <w:szCs w:val="22"/>
                <w:highlight w:val="none"/>
              </w:rPr>
            </w:pPr>
          </w:p>
        </w:tc>
        <w:tc>
          <w:tcPr>
            <w:tcW w:w="1200" w:type="dxa"/>
            <w:tcBorders>
              <w:top w:val="single" w:color="auto" w:sz="4" w:space="0"/>
              <w:left w:val="single" w:color="auto" w:sz="4" w:space="0"/>
              <w:right w:val="single" w:color="auto" w:sz="4" w:space="0"/>
            </w:tcBorders>
          </w:tcPr>
          <w:p w14:paraId="138F56EF">
            <w:pPr>
              <w:pStyle w:val="19"/>
              <w:spacing w:line="440" w:lineRule="atLeast"/>
              <w:jc w:val="center"/>
              <w:rPr>
                <w:rFonts w:hint="eastAsia" w:hAnsi="宋体" w:eastAsia="宋体"/>
                <w:b/>
                <w:color w:val="auto"/>
                <w:sz w:val="22"/>
                <w:szCs w:val="22"/>
                <w:highlight w:val="none"/>
              </w:rPr>
            </w:pPr>
          </w:p>
        </w:tc>
        <w:tc>
          <w:tcPr>
            <w:tcW w:w="2438" w:type="dxa"/>
            <w:tcBorders>
              <w:top w:val="single" w:color="auto" w:sz="4" w:space="0"/>
              <w:left w:val="single" w:color="auto" w:sz="4" w:space="0"/>
              <w:right w:val="single" w:color="auto" w:sz="4" w:space="0"/>
            </w:tcBorders>
          </w:tcPr>
          <w:p w14:paraId="7B1D3FA9">
            <w:pPr>
              <w:pStyle w:val="19"/>
              <w:spacing w:line="440" w:lineRule="atLeast"/>
              <w:jc w:val="center"/>
              <w:rPr>
                <w:rFonts w:hint="eastAsia" w:hAnsi="宋体" w:eastAsia="宋体"/>
                <w:b/>
                <w:color w:val="auto"/>
                <w:sz w:val="22"/>
                <w:szCs w:val="22"/>
                <w:highlight w:val="none"/>
              </w:rPr>
            </w:pPr>
          </w:p>
        </w:tc>
        <w:tc>
          <w:tcPr>
            <w:tcW w:w="1940" w:type="dxa"/>
            <w:tcBorders>
              <w:top w:val="single" w:color="auto" w:sz="4" w:space="0"/>
              <w:left w:val="single" w:color="auto" w:sz="4" w:space="0"/>
              <w:right w:val="single" w:color="auto" w:sz="4" w:space="0"/>
            </w:tcBorders>
          </w:tcPr>
          <w:p w14:paraId="54CBFB54">
            <w:pPr>
              <w:pStyle w:val="19"/>
              <w:spacing w:line="440" w:lineRule="atLeast"/>
              <w:jc w:val="center"/>
              <w:rPr>
                <w:rFonts w:hint="eastAsia" w:hAnsi="宋体" w:eastAsia="宋体"/>
                <w:b/>
                <w:color w:val="auto"/>
                <w:sz w:val="22"/>
                <w:szCs w:val="22"/>
                <w:highlight w:val="none"/>
              </w:rPr>
            </w:pPr>
          </w:p>
        </w:tc>
      </w:tr>
      <w:tr w14:paraId="31FA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right w:val="single" w:color="auto" w:sz="4" w:space="0"/>
            </w:tcBorders>
          </w:tcPr>
          <w:p w14:paraId="167B6F22">
            <w:pPr>
              <w:pStyle w:val="19"/>
              <w:spacing w:line="440" w:lineRule="atLeast"/>
              <w:jc w:val="center"/>
              <w:rPr>
                <w:rFonts w:hint="eastAsia" w:hAnsi="宋体" w:eastAsia="宋体"/>
                <w:b/>
                <w:color w:val="auto"/>
                <w:sz w:val="22"/>
                <w:szCs w:val="22"/>
                <w:highlight w:val="none"/>
              </w:rPr>
            </w:pPr>
          </w:p>
        </w:tc>
        <w:tc>
          <w:tcPr>
            <w:tcW w:w="1447" w:type="dxa"/>
            <w:tcBorders>
              <w:top w:val="single" w:color="auto" w:sz="4" w:space="0"/>
              <w:left w:val="single" w:color="auto" w:sz="4" w:space="0"/>
              <w:right w:val="single" w:color="auto" w:sz="4" w:space="0"/>
            </w:tcBorders>
          </w:tcPr>
          <w:p w14:paraId="5309905C">
            <w:pPr>
              <w:pStyle w:val="19"/>
              <w:spacing w:line="440" w:lineRule="atLeast"/>
              <w:jc w:val="center"/>
              <w:rPr>
                <w:rFonts w:hint="eastAsia" w:hAnsi="宋体" w:eastAsia="宋体"/>
                <w:b/>
                <w:color w:val="auto"/>
                <w:sz w:val="22"/>
                <w:szCs w:val="22"/>
                <w:highlight w:val="none"/>
              </w:rPr>
            </w:pPr>
          </w:p>
        </w:tc>
        <w:tc>
          <w:tcPr>
            <w:tcW w:w="1875" w:type="dxa"/>
            <w:tcBorders>
              <w:top w:val="single" w:color="auto" w:sz="4" w:space="0"/>
              <w:left w:val="single" w:color="auto" w:sz="4" w:space="0"/>
              <w:right w:val="single" w:color="auto" w:sz="4" w:space="0"/>
            </w:tcBorders>
          </w:tcPr>
          <w:p w14:paraId="10E48F4B">
            <w:pPr>
              <w:pStyle w:val="19"/>
              <w:spacing w:line="440" w:lineRule="atLeast"/>
              <w:jc w:val="center"/>
              <w:rPr>
                <w:rFonts w:hint="eastAsia" w:hAnsi="宋体" w:eastAsia="宋体"/>
                <w:b/>
                <w:color w:val="auto"/>
                <w:sz w:val="22"/>
                <w:szCs w:val="22"/>
                <w:highlight w:val="none"/>
              </w:rPr>
            </w:pPr>
          </w:p>
        </w:tc>
        <w:tc>
          <w:tcPr>
            <w:tcW w:w="1200" w:type="dxa"/>
            <w:tcBorders>
              <w:top w:val="single" w:color="auto" w:sz="4" w:space="0"/>
              <w:left w:val="single" w:color="auto" w:sz="4" w:space="0"/>
              <w:right w:val="single" w:color="auto" w:sz="4" w:space="0"/>
            </w:tcBorders>
          </w:tcPr>
          <w:p w14:paraId="5A081234">
            <w:pPr>
              <w:pStyle w:val="19"/>
              <w:spacing w:line="440" w:lineRule="atLeast"/>
              <w:jc w:val="center"/>
              <w:rPr>
                <w:rFonts w:hint="eastAsia" w:hAnsi="宋体" w:eastAsia="宋体"/>
                <w:b/>
                <w:color w:val="auto"/>
                <w:sz w:val="22"/>
                <w:szCs w:val="22"/>
                <w:highlight w:val="none"/>
              </w:rPr>
            </w:pPr>
          </w:p>
        </w:tc>
        <w:tc>
          <w:tcPr>
            <w:tcW w:w="2438" w:type="dxa"/>
            <w:tcBorders>
              <w:top w:val="single" w:color="auto" w:sz="4" w:space="0"/>
              <w:left w:val="single" w:color="auto" w:sz="4" w:space="0"/>
              <w:right w:val="single" w:color="auto" w:sz="4" w:space="0"/>
            </w:tcBorders>
          </w:tcPr>
          <w:p w14:paraId="2FA161AE">
            <w:pPr>
              <w:pStyle w:val="19"/>
              <w:spacing w:line="440" w:lineRule="atLeast"/>
              <w:jc w:val="center"/>
              <w:rPr>
                <w:rFonts w:hint="eastAsia" w:hAnsi="宋体" w:eastAsia="宋体"/>
                <w:b/>
                <w:color w:val="auto"/>
                <w:sz w:val="22"/>
                <w:szCs w:val="22"/>
                <w:highlight w:val="none"/>
              </w:rPr>
            </w:pPr>
          </w:p>
        </w:tc>
        <w:tc>
          <w:tcPr>
            <w:tcW w:w="1940" w:type="dxa"/>
            <w:tcBorders>
              <w:top w:val="single" w:color="auto" w:sz="4" w:space="0"/>
              <w:left w:val="single" w:color="auto" w:sz="4" w:space="0"/>
              <w:right w:val="single" w:color="auto" w:sz="4" w:space="0"/>
            </w:tcBorders>
          </w:tcPr>
          <w:p w14:paraId="45B7BD5A">
            <w:pPr>
              <w:pStyle w:val="19"/>
              <w:spacing w:line="440" w:lineRule="atLeast"/>
              <w:jc w:val="center"/>
              <w:rPr>
                <w:rFonts w:hint="eastAsia" w:hAnsi="宋体" w:eastAsia="宋体"/>
                <w:b/>
                <w:color w:val="auto"/>
                <w:sz w:val="22"/>
                <w:szCs w:val="22"/>
                <w:highlight w:val="none"/>
              </w:rPr>
            </w:pPr>
          </w:p>
        </w:tc>
      </w:tr>
      <w:tr w14:paraId="347F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right w:val="single" w:color="auto" w:sz="4" w:space="0"/>
            </w:tcBorders>
          </w:tcPr>
          <w:p w14:paraId="62EC82AB">
            <w:pPr>
              <w:pStyle w:val="19"/>
              <w:spacing w:line="440" w:lineRule="atLeast"/>
              <w:jc w:val="center"/>
              <w:rPr>
                <w:rFonts w:hint="eastAsia" w:hAnsi="宋体" w:eastAsia="宋体"/>
                <w:b/>
                <w:color w:val="auto"/>
                <w:sz w:val="22"/>
                <w:szCs w:val="22"/>
                <w:highlight w:val="none"/>
              </w:rPr>
            </w:pPr>
          </w:p>
        </w:tc>
        <w:tc>
          <w:tcPr>
            <w:tcW w:w="1447" w:type="dxa"/>
            <w:tcBorders>
              <w:top w:val="single" w:color="auto" w:sz="4" w:space="0"/>
              <w:left w:val="single" w:color="auto" w:sz="4" w:space="0"/>
              <w:right w:val="single" w:color="auto" w:sz="4" w:space="0"/>
            </w:tcBorders>
          </w:tcPr>
          <w:p w14:paraId="711BB6A7">
            <w:pPr>
              <w:pStyle w:val="19"/>
              <w:spacing w:line="440" w:lineRule="atLeast"/>
              <w:jc w:val="center"/>
              <w:rPr>
                <w:rFonts w:hint="eastAsia" w:hAnsi="宋体" w:eastAsia="宋体"/>
                <w:b/>
                <w:color w:val="auto"/>
                <w:sz w:val="22"/>
                <w:szCs w:val="22"/>
                <w:highlight w:val="none"/>
              </w:rPr>
            </w:pPr>
          </w:p>
        </w:tc>
        <w:tc>
          <w:tcPr>
            <w:tcW w:w="1875" w:type="dxa"/>
            <w:tcBorders>
              <w:top w:val="single" w:color="auto" w:sz="4" w:space="0"/>
              <w:left w:val="single" w:color="auto" w:sz="4" w:space="0"/>
              <w:right w:val="single" w:color="auto" w:sz="4" w:space="0"/>
            </w:tcBorders>
          </w:tcPr>
          <w:p w14:paraId="216A41BD">
            <w:pPr>
              <w:pStyle w:val="19"/>
              <w:spacing w:line="440" w:lineRule="atLeast"/>
              <w:jc w:val="center"/>
              <w:rPr>
                <w:rFonts w:hint="eastAsia" w:hAnsi="宋体" w:eastAsia="宋体"/>
                <w:b/>
                <w:color w:val="auto"/>
                <w:sz w:val="22"/>
                <w:szCs w:val="22"/>
                <w:highlight w:val="none"/>
              </w:rPr>
            </w:pPr>
          </w:p>
        </w:tc>
        <w:tc>
          <w:tcPr>
            <w:tcW w:w="1200" w:type="dxa"/>
            <w:tcBorders>
              <w:top w:val="single" w:color="auto" w:sz="4" w:space="0"/>
              <w:left w:val="single" w:color="auto" w:sz="4" w:space="0"/>
              <w:right w:val="single" w:color="auto" w:sz="4" w:space="0"/>
            </w:tcBorders>
          </w:tcPr>
          <w:p w14:paraId="62201F30">
            <w:pPr>
              <w:pStyle w:val="19"/>
              <w:spacing w:line="440" w:lineRule="atLeast"/>
              <w:jc w:val="center"/>
              <w:rPr>
                <w:rFonts w:hint="eastAsia" w:hAnsi="宋体" w:eastAsia="宋体"/>
                <w:b/>
                <w:color w:val="auto"/>
                <w:sz w:val="22"/>
                <w:szCs w:val="22"/>
                <w:highlight w:val="none"/>
              </w:rPr>
            </w:pPr>
          </w:p>
        </w:tc>
        <w:tc>
          <w:tcPr>
            <w:tcW w:w="2438" w:type="dxa"/>
            <w:tcBorders>
              <w:top w:val="single" w:color="auto" w:sz="4" w:space="0"/>
              <w:left w:val="single" w:color="auto" w:sz="4" w:space="0"/>
              <w:right w:val="single" w:color="auto" w:sz="4" w:space="0"/>
            </w:tcBorders>
          </w:tcPr>
          <w:p w14:paraId="513AF414">
            <w:pPr>
              <w:pStyle w:val="19"/>
              <w:spacing w:line="440" w:lineRule="atLeast"/>
              <w:jc w:val="center"/>
              <w:rPr>
                <w:rFonts w:hint="eastAsia" w:hAnsi="宋体" w:eastAsia="宋体"/>
                <w:b/>
                <w:color w:val="auto"/>
                <w:sz w:val="22"/>
                <w:szCs w:val="22"/>
                <w:highlight w:val="none"/>
              </w:rPr>
            </w:pPr>
          </w:p>
        </w:tc>
        <w:tc>
          <w:tcPr>
            <w:tcW w:w="1940" w:type="dxa"/>
            <w:tcBorders>
              <w:top w:val="single" w:color="auto" w:sz="4" w:space="0"/>
              <w:left w:val="single" w:color="auto" w:sz="4" w:space="0"/>
              <w:right w:val="single" w:color="auto" w:sz="4" w:space="0"/>
            </w:tcBorders>
          </w:tcPr>
          <w:p w14:paraId="00254B22">
            <w:pPr>
              <w:pStyle w:val="19"/>
              <w:spacing w:line="440" w:lineRule="atLeast"/>
              <w:jc w:val="center"/>
              <w:rPr>
                <w:rFonts w:hint="eastAsia" w:hAnsi="宋体" w:eastAsia="宋体"/>
                <w:b/>
                <w:color w:val="auto"/>
                <w:sz w:val="22"/>
                <w:szCs w:val="22"/>
                <w:highlight w:val="none"/>
              </w:rPr>
            </w:pPr>
          </w:p>
        </w:tc>
      </w:tr>
      <w:tr w14:paraId="6F663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right w:val="single" w:color="auto" w:sz="4" w:space="0"/>
            </w:tcBorders>
          </w:tcPr>
          <w:p w14:paraId="001C170C">
            <w:pPr>
              <w:pStyle w:val="19"/>
              <w:spacing w:line="440" w:lineRule="atLeast"/>
              <w:jc w:val="center"/>
              <w:rPr>
                <w:rFonts w:hint="eastAsia" w:hAnsi="宋体" w:eastAsia="宋体"/>
                <w:b/>
                <w:color w:val="auto"/>
                <w:sz w:val="22"/>
                <w:szCs w:val="22"/>
                <w:highlight w:val="none"/>
              </w:rPr>
            </w:pPr>
          </w:p>
        </w:tc>
        <w:tc>
          <w:tcPr>
            <w:tcW w:w="1447" w:type="dxa"/>
            <w:tcBorders>
              <w:top w:val="single" w:color="auto" w:sz="4" w:space="0"/>
              <w:left w:val="single" w:color="auto" w:sz="4" w:space="0"/>
              <w:right w:val="single" w:color="auto" w:sz="4" w:space="0"/>
            </w:tcBorders>
          </w:tcPr>
          <w:p w14:paraId="359086B5">
            <w:pPr>
              <w:pStyle w:val="19"/>
              <w:spacing w:line="440" w:lineRule="atLeast"/>
              <w:jc w:val="center"/>
              <w:rPr>
                <w:rFonts w:hint="eastAsia" w:hAnsi="宋体" w:eastAsia="宋体"/>
                <w:b/>
                <w:color w:val="auto"/>
                <w:sz w:val="22"/>
                <w:szCs w:val="22"/>
                <w:highlight w:val="none"/>
              </w:rPr>
            </w:pPr>
          </w:p>
        </w:tc>
        <w:tc>
          <w:tcPr>
            <w:tcW w:w="1875" w:type="dxa"/>
            <w:tcBorders>
              <w:top w:val="single" w:color="auto" w:sz="4" w:space="0"/>
              <w:left w:val="single" w:color="auto" w:sz="4" w:space="0"/>
              <w:right w:val="single" w:color="auto" w:sz="4" w:space="0"/>
            </w:tcBorders>
          </w:tcPr>
          <w:p w14:paraId="5A504695">
            <w:pPr>
              <w:pStyle w:val="19"/>
              <w:spacing w:line="440" w:lineRule="atLeast"/>
              <w:jc w:val="center"/>
              <w:rPr>
                <w:rFonts w:hint="eastAsia" w:hAnsi="宋体" w:eastAsia="宋体"/>
                <w:b/>
                <w:color w:val="auto"/>
                <w:sz w:val="22"/>
                <w:szCs w:val="22"/>
                <w:highlight w:val="none"/>
              </w:rPr>
            </w:pPr>
          </w:p>
        </w:tc>
        <w:tc>
          <w:tcPr>
            <w:tcW w:w="1200" w:type="dxa"/>
            <w:tcBorders>
              <w:top w:val="single" w:color="auto" w:sz="4" w:space="0"/>
              <w:left w:val="single" w:color="auto" w:sz="4" w:space="0"/>
              <w:right w:val="single" w:color="auto" w:sz="4" w:space="0"/>
            </w:tcBorders>
          </w:tcPr>
          <w:p w14:paraId="6E80C8D7">
            <w:pPr>
              <w:pStyle w:val="19"/>
              <w:spacing w:line="440" w:lineRule="atLeast"/>
              <w:jc w:val="center"/>
              <w:rPr>
                <w:rFonts w:hint="eastAsia" w:hAnsi="宋体" w:eastAsia="宋体"/>
                <w:b/>
                <w:color w:val="auto"/>
                <w:sz w:val="22"/>
                <w:szCs w:val="22"/>
                <w:highlight w:val="none"/>
              </w:rPr>
            </w:pPr>
          </w:p>
        </w:tc>
        <w:tc>
          <w:tcPr>
            <w:tcW w:w="2438" w:type="dxa"/>
            <w:tcBorders>
              <w:top w:val="single" w:color="auto" w:sz="4" w:space="0"/>
              <w:left w:val="single" w:color="auto" w:sz="4" w:space="0"/>
              <w:right w:val="single" w:color="auto" w:sz="4" w:space="0"/>
            </w:tcBorders>
          </w:tcPr>
          <w:p w14:paraId="7F310285">
            <w:pPr>
              <w:pStyle w:val="19"/>
              <w:spacing w:line="440" w:lineRule="atLeast"/>
              <w:jc w:val="center"/>
              <w:rPr>
                <w:rFonts w:hint="eastAsia" w:hAnsi="宋体" w:eastAsia="宋体"/>
                <w:b/>
                <w:color w:val="auto"/>
                <w:sz w:val="22"/>
                <w:szCs w:val="22"/>
                <w:highlight w:val="none"/>
              </w:rPr>
            </w:pPr>
          </w:p>
        </w:tc>
        <w:tc>
          <w:tcPr>
            <w:tcW w:w="1940" w:type="dxa"/>
            <w:tcBorders>
              <w:top w:val="single" w:color="auto" w:sz="4" w:space="0"/>
              <w:left w:val="single" w:color="auto" w:sz="4" w:space="0"/>
              <w:right w:val="single" w:color="auto" w:sz="4" w:space="0"/>
            </w:tcBorders>
          </w:tcPr>
          <w:p w14:paraId="29D035CF">
            <w:pPr>
              <w:pStyle w:val="19"/>
              <w:spacing w:line="440" w:lineRule="atLeast"/>
              <w:jc w:val="center"/>
              <w:rPr>
                <w:rFonts w:hint="eastAsia" w:hAnsi="宋体" w:eastAsia="宋体"/>
                <w:b/>
                <w:color w:val="auto"/>
                <w:sz w:val="22"/>
                <w:szCs w:val="22"/>
                <w:highlight w:val="none"/>
              </w:rPr>
            </w:pPr>
          </w:p>
        </w:tc>
      </w:tr>
      <w:tr w14:paraId="206D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right w:val="single" w:color="auto" w:sz="4" w:space="0"/>
            </w:tcBorders>
          </w:tcPr>
          <w:p w14:paraId="50691667">
            <w:pPr>
              <w:pStyle w:val="19"/>
              <w:spacing w:line="440" w:lineRule="atLeast"/>
              <w:jc w:val="center"/>
              <w:rPr>
                <w:rFonts w:hint="eastAsia" w:hAnsi="宋体" w:eastAsia="宋体"/>
                <w:b/>
                <w:color w:val="auto"/>
                <w:sz w:val="22"/>
                <w:szCs w:val="22"/>
                <w:highlight w:val="none"/>
              </w:rPr>
            </w:pPr>
          </w:p>
        </w:tc>
        <w:tc>
          <w:tcPr>
            <w:tcW w:w="1447" w:type="dxa"/>
            <w:tcBorders>
              <w:top w:val="single" w:color="auto" w:sz="4" w:space="0"/>
              <w:left w:val="single" w:color="auto" w:sz="4" w:space="0"/>
              <w:right w:val="single" w:color="auto" w:sz="4" w:space="0"/>
            </w:tcBorders>
          </w:tcPr>
          <w:p w14:paraId="0E73E65D">
            <w:pPr>
              <w:pStyle w:val="19"/>
              <w:spacing w:line="440" w:lineRule="atLeast"/>
              <w:jc w:val="center"/>
              <w:rPr>
                <w:rFonts w:hint="eastAsia" w:hAnsi="宋体" w:eastAsia="宋体"/>
                <w:b/>
                <w:color w:val="auto"/>
                <w:sz w:val="22"/>
                <w:szCs w:val="22"/>
                <w:highlight w:val="none"/>
              </w:rPr>
            </w:pPr>
          </w:p>
        </w:tc>
        <w:tc>
          <w:tcPr>
            <w:tcW w:w="1875" w:type="dxa"/>
            <w:tcBorders>
              <w:top w:val="single" w:color="auto" w:sz="4" w:space="0"/>
              <w:left w:val="single" w:color="auto" w:sz="4" w:space="0"/>
              <w:right w:val="single" w:color="auto" w:sz="4" w:space="0"/>
            </w:tcBorders>
          </w:tcPr>
          <w:p w14:paraId="348E536F">
            <w:pPr>
              <w:pStyle w:val="19"/>
              <w:spacing w:line="440" w:lineRule="atLeast"/>
              <w:jc w:val="center"/>
              <w:rPr>
                <w:rFonts w:hint="eastAsia" w:hAnsi="宋体" w:eastAsia="宋体"/>
                <w:b/>
                <w:color w:val="auto"/>
                <w:sz w:val="22"/>
                <w:szCs w:val="22"/>
                <w:highlight w:val="none"/>
              </w:rPr>
            </w:pPr>
          </w:p>
        </w:tc>
        <w:tc>
          <w:tcPr>
            <w:tcW w:w="1200" w:type="dxa"/>
            <w:tcBorders>
              <w:top w:val="single" w:color="auto" w:sz="4" w:space="0"/>
              <w:left w:val="single" w:color="auto" w:sz="4" w:space="0"/>
              <w:right w:val="single" w:color="auto" w:sz="4" w:space="0"/>
            </w:tcBorders>
          </w:tcPr>
          <w:p w14:paraId="71F64C16">
            <w:pPr>
              <w:pStyle w:val="19"/>
              <w:spacing w:line="440" w:lineRule="atLeast"/>
              <w:jc w:val="center"/>
              <w:rPr>
                <w:rFonts w:hint="eastAsia" w:hAnsi="宋体" w:eastAsia="宋体"/>
                <w:b/>
                <w:color w:val="auto"/>
                <w:sz w:val="22"/>
                <w:szCs w:val="22"/>
                <w:highlight w:val="none"/>
              </w:rPr>
            </w:pPr>
          </w:p>
        </w:tc>
        <w:tc>
          <w:tcPr>
            <w:tcW w:w="2438" w:type="dxa"/>
            <w:tcBorders>
              <w:top w:val="single" w:color="auto" w:sz="4" w:space="0"/>
              <w:left w:val="single" w:color="auto" w:sz="4" w:space="0"/>
              <w:right w:val="single" w:color="auto" w:sz="4" w:space="0"/>
            </w:tcBorders>
          </w:tcPr>
          <w:p w14:paraId="3C30F6EC">
            <w:pPr>
              <w:pStyle w:val="19"/>
              <w:spacing w:line="440" w:lineRule="atLeast"/>
              <w:jc w:val="center"/>
              <w:rPr>
                <w:rFonts w:hint="eastAsia" w:hAnsi="宋体" w:eastAsia="宋体"/>
                <w:b/>
                <w:color w:val="auto"/>
                <w:sz w:val="22"/>
                <w:szCs w:val="22"/>
                <w:highlight w:val="none"/>
              </w:rPr>
            </w:pPr>
          </w:p>
        </w:tc>
        <w:tc>
          <w:tcPr>
            <w:tcW w:w="1940" w:type="dxa"/>
            <w:tcBorders>
              <w:top w:val="single" w:color="auto" w:sz="4" w:space="0"/>
              <w:left w:val="single" w:color="auto" w:sz="4" w:space="0"/>
              <w:right w:val="single" w:color="auto" w:sz="4" w:space="0"/>
            </w:tcBorders>
          </w:tcPr>
          <w:p w14:paraId="58AC461D">
            <w:pPr>
              <w:pStyle w:val="19"/>
              <w:spacing w:line="440" w:lineRule="atLeast"/>
              <w:jc w:val="center"/>
              <w:rPr>
                <w:rFonts w:hint="eastAsia" w:hAnsi="宋体" w:eastAsia="宋体"/>
                <w:b/>
                <w:color w:val="auto"/>
                <w:sz w:val="22"/>
                <w:szCs w:val="22"/>
                <w:highlight w:val="none"/>
              </w:rPr>
            </w:pPr>
          </w:p>
        </w:tc>
      </w:tr>
      <w:tr w14:paraId="6E02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right w:val="single" w:color="auto" w:sz="4" w:space="0"/>
            </w:tcBorders>
          </w:tcPr>
          <w:p w14:paraId="5787BFBE">
            <w:pPr>
              <w:pStyle w:val="19"/>
              <w:spacing w:line="440" w:lineRule="atLeast"/>
              <w:jc w:val="center"/>
              <w:rPr>
                <w:rFonts w:hint="eastAsia" w:hAnsi="宋体" w:eastAsia="宋体"/>
                <w:b/>
                <w:color w:val="auto"/>
                <w:sz w:val="22"/>
                <w:szCs w:val="22"/>
                <w:highlight w:val="none"/>
              </w:rPr>
            </w:pPr>
          </w:p>
        </w:tc>
        <w:tc>
          <w:tcPr>
            <w:tcW w:w="1447" w:type="dxa"/>
            <w:tcBorders>
              <w:top w:val="single" w:color="auto" w:sz="4" w:space="0"/>
              <w:left w:val="single" w:color="auto" w:sz="4" w:space="0"/>
              <w:right w:val="single" w:color="auto" w:sz="4" w:space="0"/>
            </w:tcBorders>
          </w:tcPr>
          <w:p w14:paraId="526251CE">
            <w:pPr>
              <w:pStyle w:val="19"/>
              <w:spacing w:line="440" w:lineRule="atLeast"/>
              <w:jc w:val="center"/>
              <w:rPr>
                <w:rFonts w:hint="eastAsia" w:hAnsi="宋体" w:eastAsia="宋体"/>
                <w:b/>
                <w:color w:val="auto"/>
                <w:sz w:val="22"/>
                <w:szCs w:val="22"/>
                <w:highlight w:val="none"/>
              </w:rPr>
            </w:pPr>
          </w:p>
        </w:tc>
        <w:tc>
          <w:tcPr>
            <w:tcW w:w="1875" w:type="dxa"/>
            <w:tcBorders>
              <w:top w:val="single" w:color="auto" w:sz="4" w:space="0"/>
              <w:left w:val="single" w:color="auto" w:sz="4" w:space="0"/>
              <w:right w:val="single" w:color="auto" w:sz="4" w:space="0"/>
            </w:tcBorders>
          </w:tcPr>
          <w:p w14:paraId="242CC7DD">
            <w:pPr>
              <w:pStyle w:val="19"/>
              <w:spacing w:line="440" w:lineRule="atLeast"/>
              <w:jc w:val="center"/>
              <w:rPr>
                <w:rFonts w:hint="eastAsia" w:hAnsi="宋体" w:eastAsia="宋体"/>
                <w:b/>
                <w:color w:val="auto"/>
                <w:sz w:val="22"/>
                <w:szCs w:val="22"/>
                <w:highlight w:val="none"/>
              </w:rPr>
            </w:pPr>
          </w:p>
        </w:tc>
        <w:tc>
          <w:tcPr>
            <w:tcW w:w="1200" w:type="dxa"/>
            <w:tcBorders>
              <w:top w:val="single" w:color="auto" w:sz="4" w:space="0"/>
              <w:left w:val="single" w:color="auto" w:sz="4" w:space="0"/>
              <w:right w:val="single" w:color="auto" w:sz="4" w:space="0"/>
            </w:tcBorders>
          </w:tcPr>
          <w:p w14:paraId="4E954CA2">
            <w:pPr>
              <w:pStyle w:val="19"/>
              <w:spacing w:line="440" w:lineRule="atLeast"/>
              <w:jc w:val="center"/>
              <w:rPr>
                <w:rFonts w:hint="eastAsia" w:hAnsi="宋体" w:eastAsia="宋体"/>
                <w:b/>
                <w:color w:val="auto"/>
                <w:sz w:val="22"/>
                <w:szCs w:val="22"/>
                <w:highlight w:val="none"/>
              </w:rPr>
            </w:pPr>
          </w:p>
        </w:tc>
        <w:tc>
          <w:tcPr>
            <w:tcW w:w="2438" w:type="dxa"/>
            <w:tcBorders>
              <w:top w:val="single" w:color="auto" w:sz="4" w:space="0"/>
              <w:left w:val="single" w:color="auto" w:sz="4" w:space="0"/>
              <w:right w:val="single" w:color="auto" w:sz="4" w:space="0"/>
            </w:tcBorders>
          </w:tcPr>
          <w:p w14:paraId="40E1C756">
            <w:pPr>
              <w:pStyle w:val="19"/>
              <w:spacing w:line="440" w:lineRule="atLeast"/>
              <w:jc w:val="center"/>
              <w:rPr>
                <w:rFonts w:hint="eastAsia" w:hAnsi="宋体" w:eastAsia="宋体"/>
                <w:b/>
                <w:color w:val="auto"/>
                <w:sz w:val="22"/>
                <w:szCs w:val="22"/>
                <w:highlight w:val="none"/>
              </w:rPr>
            </w:pPr>
          </w:p>
        </w:tc>
        <w:tc>
          <w:tcPr>
            <w:tcW w:w="1940" w:type="dxa"/>
            <w:tcBorders>
              <w:top w:val="single" w:color="auto" w:sz="4" w:space="0"/>
              <w:left w:val="single" w:color="auto" w:sz="4" w:space="0"/>
              <w:right w:val="single" w:color="auto" w:sz="4" w:space="0"/>
            </w:tcBorders>
          </w:tcPr>
          <w:p w14:paraId="6F2AEAB4">
            <w:pPr>
              <w:pStyle w:val="19"/>
              <w:spacing w:line="440" w:lineRule="atLeast"/>
              <w:jc w:val="center"/>
              <w:rPr>
                <w:rFonts w:hint="eastAsia" w:hAnsi="宋体" w:eastAsia="宋体"/>
                <w:b/>
                <w:color w:val="auto"/>
                <w:sz w:val="22"/>
                <w:szCs w:val="22"/>
                <w:highlight w:val="none"/>
              </w:rPr>
            </w:pPr>
          </w:p>
        </w:tc>
      </w:tr>
    </w:tbl>
    <w:p w14:paraId="3F3135A2">
      <w:pPr>
        <w:pStyle w:val="19"/>
        <w:spacing w:line="440" w:lineRule="atLeast"/>
        <w:jc w:val="center"/>
        <w:rPr>
          <w:rFonts w:hint="eastAsia" w:hAnsi="宋体"/>
          <w:b/>
          <w:color w:val="auto"/>
          <w:sz w:val="24"/>
          <w:highlight w:val="none"/>
        </w:rPr>
      </w:pPr>
    </w:p>
    <w:p w14:paraId="621A3F3B">
      <w:pPr>
        <w:pStyle w:val="19"/>
        <w:spacing w:line="460" w:lineRule="atLeast"/>
        <w:ind w:firstLine="423" w:firstLineChars="190"/>
        <w:rPr>
          <w:rFonts w:hint="eastAsia" w:hAnsi="宋体"/>
          <w:b/>
          <w:bCs/>
          <w:color w:val="auto"/>
          <w:sz w:val="22"/>
          <w:szCs w:val="22"/>
          <w:highlight w:val="none"/>
          <w:u w:val="single"/>
        </w:rPr>
      </w:pPr>
      <w:r>
        <w:rPr>
          <w:rFonts w:hint="eastAsia" w:hAnsi="宋体" w:cs="宋体"/>
          <w:b/>
          <w:bCs/>
          <w:color w:val="auto"/>
          <w:sz w:val="22"/>
          <w:szCs w:val="22"/>
          <w:highlight w:val="none"/>
          <w:u w:val="single"/>
        </w:rPr>
        <w:t>备</w:t>
      </w:r>
      <w:r>
        <w:rPr>
          <w:rFonts w:hint="eastAsia" w:hAnsi="宋体"/>
          <w:b/>
          <w:bCs/>
          <w:color w:val="auto"/>
          <w:sz w:val="22"/>
          <w:szCs w:val="22"/>
          <w:highlight w:val="none"/>
          <w:u w:val="single"/>
        </w:rPr>
        <w:t>注：本表为质保期满后工必备的零件，易损件，专用工具，专用</w:t>
      </w:r>
      <w:r>
        <w:rPr>
          <w:rFonts w:hint="eastAsia" w:hAnsi="宋体"/>
          <w:b/>
          <w:bCs/>
          <w:color w:val="auto"/>
          <w:sz w:val="22"/>
          <w:szCs w:val="22"/>
          <w:highlight w:val="none"/>
          <w:u w:val="single"/>
          <w:lang w:val="en-US" w:eastAsia="zh-CN"/>
        </w:rPr>
        <w:t>用</w:t>
      </w:r>
      <w:r>
        <w:rPr>
          <w:rFonts w:hint="eastAsia" w:hAnsi="宋体"/>
          <w:b/>
          <w:bCs/>
          <w:color w:val="auto"/>
          <w:sz w:val="22"/>
          <w:szCs w:val="22"/>
          <w:highlight w:val="none"/>
          <w:u w:val="single"/>
        </w:rPr>
        <w:t>剂</w:t>
      </w:r>
      <w:r>
        <w:rPr>
          <w:rFonts w:hint="eastAsia" w:hAnsi="宋体"/>
          <w:b/>
          <w:bCs/>
          <w:color w:val="auto"/>
          <w:sz w:val="22"/>
          <w:szCs w:val="22"/>
          <w:highlight w:val="none"/>
          <w:u w:val="single"/>
          <w:lang w:val="en-US" w:eastAsia="zh-CN"/>
        </w:rPr>
        <w:t>等物品</w:t>
      </w:r>
      <w:r>
        <w:rPr>
          <w:rFonts w:hint="eastAsia" w:hAnsi="宋体"/>
          <w:b/>
          <w:bCs/>
          <w:color w:val="auto"/>
          <w:sz w:val="22"/>
          <w:szCs w:val="22"/>
          <w:highlight w:val="none"/>
          <w:u w:val="single"/>
        </w:rPr>
        <w:t>的报价表。由投标供应商填写，费用不包括在投标总价中，但作为评标的重要依据。</w:t>
      </w:r>
    </w:p>
    <w:p w14:paraId="4B1729F0">
      <w:pPr>
        <w:autoSpaceDE w:val="0"/>
        <w:autoSpaceDN w:val="0"/>
        <w:adjustRightInd w:val="0"/>
        <w:spacing w:line="500" w:lineRule="atLeast"/>
        <w:rPr>
          <w:rFonts w:hint="eastAsia" w:ascii="宋体" w:hAnsi="宋体" w:cs="仿宋_GB2312"/>
          <w:b/>
          <w:color w:val="auto"/>
          <w:sz w:val="30"/>
          <w:szCs w:val="30"/>
          <w:highlight w:val="none"/>
          <w:lang w:val="zh-CN"/>
        </w:rPr>
      </w:pPr>
    </w:p>
    <w:p w14:paraId="1E733B43">
      <w:pPr>
        <w:pStyle w:val="19"/>
        <w:spacing w:line="460" w:lineRule="atLeast"/>
        <w:ind w:firstLine="780" w:firstLineChars="350"/>
        <w:rPr>
          <w:rFonts w:hint="eastAsia" w:hAnsi="宋体"/>
          <w:color w:val="auto"/>
          <w:sz w:val="22"/>
          <w:szCs w:val="22"/>
          <w:highlight w:val="none"/>
        </w:rPr>
      </w:pPr>
      <w:r>
        <w:rPr>
          <w:rFonts w:hint="eastAsia" w:hAnsi="宋体"/>
          <w:color w:val="auto"/>
          <w:sz w:val="22"/>
          <w:szCs w:val="22"/>
          <w:highlight w:val="none"/>
        </w:rPr>
        <w:t>投标供应商（盖章）：</w:t>
      </w:r>
    </w:p>
    <w:p w14:paraId="61662974">
      <w:pPr>
        <w:pStyle w:val="19"/>
        <w:spacing w:line="460" w:lineRule="atLeast"/>
        <w:ind w:firstLine="780" w:firstLineChars="350"/>
        <w:rPr>
          <w:rFonts w:hint="eastAsia" w:hAnsi="宋体"/>
          <w:color w:val="auto"/>
          <w:sz w:val="22"/>
          <w:szCs w:val="22"/>
          <w:highlight w:val="none"/>
        </w:rPr>
      </w:pPr>
      <w:r>
        <w:rPr>
          <w:rFonts w:hint="eastAsia" w:hAnsi="宋体"/>
          <w:color w:val="auto"/>
          <w:sz w:val="22"/>
          <w:szCs w:val="22"/>
          <w:highlight w:val="none"/>
        </w:rPr>
        <w:t>法定代表人（签字或盖章）授权代表（签字或盖章）：</w:t>
      </w:r>
    </w:p>
    <w:p w14:paraId="5EE03296">
      <w:pPr>
        <w:pStyle w:val="19"/>
        <w:spacing w:line="460" w:lineRule="atLeast"/>
        <w:ind w:firstLine="780" w:firstLineChars="350"/>
        <w:rPr>
          <w:rFonts w:hint="eastAsia" w:hAnsi="宋体"/>
          <w:color w:val="auto"/>
          <w:sz w:val="22"/>
          <w:szCs w:val="22"/>
          <w:highlight w:val="none"/>
        </w:rPr>
      </w:pPr>
      <w:r>
        <w:rPr>
          <w:rFonts w:hint="eastAsia" w:hAnsi="宋体"/>
          <w:color w:val="auto"/>
          <w:sz w:val="22"/>
          <w:szCs w:val="22"/>
          <w:highlight w:val="none"/>
        </w:rPr>
        <w:t>日期：</w:t>
      </w:r>
    </w:p>
    <w:p w14:paraId="5AC5AFD2">
      <w:pPr>
        <w:autoSpaceDE w:val="0"/>
        <w:autoSpaceDN w:val="0"/>
        <w:adjustRightInd w:val="0"/>
        <w:spacing w:line="500" w:lineRule="atLeast"/>
        <w:rPr>
          <w:rFonts w:hint="eastAsia" w:ascii="宋体" w:hAnsi="宋体" w:cs="仿宋_GB2312"/>
          <w:b/>
          <w:color w:val="auto"/>
          <w:sz w:val="30"/>
          <w:szCs w:val="30"/>
          <w:highlight w:val="none"/>
          <w:lang w:val="zh-CN"/>
        </w:rPr>
      </w:pPr>
    </w:p>
    <w:p w14:paraId="529EAD97">
      <w:pPr>
        <w:pStyle w:val="19"/>
        <w:adjustRightInd w:val="0"/>
        <w:snapToGrid w:val="0"/>
        <w:spacing w:line="460" w:lineRule="atLeast"/>
        <w:rPr>
          <w:rFonts w:hint="eastAsia" w:hAnsi="宋体"/>
          <w:b/>
          <w:color w:val="auto"/>
          <w:sz w:val="32"/>
          <w:szCs w:val="32"/>
          <w:highlight w:val="none"/>
        </w:rPr>
      </w:pPr>
    </w:p>
    <w:p w14:paraId="3AF15C1E">
      <w:pPr>
        <w:spacing w:line="440" w:lineRule="exact"/>
        <w:jc w:val="left"/>
        <w:rPr>
          <w:rFonts w:hint="eastAsia" w:ascii="宋体" w:hAnsi="宋体"/>
          <w:b/>
          <w:color w:val="auto"/>
          <w:sz w:val="32"/>
          <w:szCs w:val="32"/>
          <w:highlight w:val="none"/>
        </w:rPr>
      </w:pPr>
    </w:p>
    <w:p w14:paraId="3127DEFD">
      <w:pPr>
        <w:spacing w:line="440" w:lineRule="exact"/>
        <w:jc w:val="left"/>
        <w:rPr>
          <w:rFonts w:hint="eastAsia" w:ascii="宋体" w:hAnsi="宋体"/>
          <w:b/>
          <w:color w:val="auto"/>
          <w:sz w:val="32"/>
          <w:szCs w:val="32"/>
          <w:highlight w:val="none"/>
        </w:rPr>
      </w:pPr>
      <w:r>
        <w:rPr>
          <w:rFonts w:hint="eastAsia" w:ascii="宋体" w:hAnsi="宋体"/>
          <w:b/>
          <w:color w:val="auto"/>
          <w:sz w:val="32"/>
          <w:szCs w:val="32"/>
          <w:highlight w:val="none"/>
        </w:rPr>
        <w:t>附件四</w:t>
      </w:r>
    </w:p>
    <w:p w14:paraId="618DAC72">
      <w:pPr>
        <w:pStyle w:val="19"/>
        <w:adjustRightInd w:val="0"/>
        <w:snapToGrid w:val="0"/>
        <w:spacing w:line="460" w:lineRule="atLeast"/>
        <w:jc w:val="center"/>
        <w:rPr>
          <w:rFonts w:hint="eastAsia" w:hAnsi="宋体"/>
          <w:color w:val="auto"/>
          <w:sz w:val="36"/>
          <w:szCs w:val="36"/>
          <w:highlight w:val="none"/>
        </w:rPr>
      </w:pPr>
    </w:p>
    <w:p w14:paraId="4D53C018">
      <w:pPr>
        <w:pStyle w:val="19"/>
        <w:adjustRightInd w:val="0"/>
        <w:snapToGrid w:val="0"/>
        <w:spacing w:line="460" w:lineRule="atLeast"/>
        <w:jc w:val="center"/>
        <w:rPr>
          <w:rFonts w:hint="eastAsia" w:hAnsi="宋体"/>
          <w:color w:val="auto"/>
          <w:sz w:val="36"/>
          <w:szCs w:val="36"/>
          <w:highlight w:val="none"/>
        </w:rPr>
      </w:pPr>
      <w:r>
        <w:rPr>
          <w:rFonts w:hint="eastAsia" w:hAnsi="宋体"/>
          <w:color w:val="auto"/>
          <w:sz w:val="36"/>
          <w:szCs w:val="36"/>
          <w:highlight w:val="none"/>
        </w:rPr>
        <w:t>质保期后的大修、小修和保养</w:t>
      </w:r>
    </w:p>
    <w:p w14:paraId="0006E9B4">
      <w:pPr>
        <w:rPr>
          <w:rFonts w:hint="eastAsia" w:ascii="宋体" w:hAnsi="宋体"/>
          <w:color w:val="auto"/>
          <w:highlight w:val="none"/>
        </w:rPr>
      </w:pPr>
    </w:p>
    <w:tbl>
      <w:tblPr>
        <w:tblStyle w:val="38"/>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3885"/>
        <w:gridCol w:w="2145"/>
        <w:gridCol w:w="1891"/>
      </w:tblGrid>
      <w:tr w14:paraId="1D8C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25" w:type="dxa"/>
            <w:vAlign w:val="center"/>
          </w:tcPr>
          <w:p w14:paraId="189D8EFD">
            <w:pPr>
              <w:pStyle w:val="19"/>
              <w:spacing w:line="440" w:lineRule="atLeast"/>
              <w:jc w:val="center"/>
              <w:rPr>
                <w:rFonts w:hint="eastAsia" w:hAnsi="宋体" w:eastAsia="宋体"/>
                <w:bCs/>
                <w:color w:val="auto"/>
                <w:sz w:val="22"/>
                <w:szCs w:val="22"/>
                <w:highlight w:val="none"/>
              </w:rPr>
            </w:pPr>
            <w:r>
              <w:rPr>
                <w:rFonts w:hint="eastAsia" w:hAnsi="宋体" w:eastAsia="宋体"/>
                <w:bCs/>
                <w:color w:val="auto"/>
                <w:sz w:val="22"/>
                <w:szCs w:val="22"/>
                <w:highlight w:val="none"/>
              </w:rPr>
              <w:t>序 号</w:t>
            </w:r>
          </w:p>
        </w:tc>
        <w:tc>
          <w:tcPr>
            <w:tcW w:w="3885" w:type="dxa"/>
            <w:vAlign w:val="center"/>
          </w:tcPr>
          <w:p w14:paraId="5240C32A">
            <w:pPr>
              <w:pStyle w:val="19"/>
              <w:spacing w:line="440" w:lineRule="atLeast"/>
              <w:jc w:val="center"/>
              <w:rPr>
                <w:rFonts w:hint="eastAsia" w:hAnsi="宋体" w:eastAsia="宋体"/>
                <w:bCs/>
                <w:color w:val="auto"/>
                <w:sz w:val="22"/>
                <w:szCs w:val="22"/>
                <w:highlight w:val="none"/>
              </w:rPr>
            </w:pPr>
            <w:r>
              <w:rPr>
                <w:rFonts w:hint="eastAsia" w:hAnsi="宋体" w:eastAsia="宋体"/>
                <w:bCs/>
                <w:color w:val="auto"/>
                <w:sz w:val="22"/>
                <w:szCs w:val="22"/>
                <w:highlight w:val="none"/>
              </w:rPr>
              <w:t>维修内容</w:t>
            </w:r>
          </w:p>
        </w:tc>
        <w:tc>
          <w:tcPr>
            <w:tcW w:w="2145" w:type="dxa"/>
            <w:vAlign w:val="center"/>
          </w:tcPr>
          <w:p w14:paraId="0549060D">
            <w:pPr>
              <w:pStyle w:val="19"/>
              <w:spacing w:line="440" w:lineRule="atLeast"/>
              <w:jc w:val="center"/>
              <w:rPr>
                <w:rFonts w:hint="eastAsia" w:hAnsi="宋体" w:eastAsia="宋体"/>
                <w:bCs/>
                <w:color w:val="auto"/>
                <w:sz w:val="22"/>
                <w:szCs w:val="22"/>
                <w:highlight w:val="none"/>
              </w:rPr>
            </w:pPr>
            <w:r>
              <w:rPr>
                <w:rFonts w:hint="eastAsia" w:hAnsi="宋体" w:eastAsia="宋体"/>
                <w:bCs/>
                <w:color w:val="auto"/>
                <w:sz w:val="22"/>
                <w:szCs w:val="22"/>
                <w:highlight w:val="none"/>
              </w:rPr>
              <w:t>单价</w:t>
            </w:r>
          </w:p>
        </w:tc>
        <w:tc>
          <w:tcPr>
            <w:tcW w:w="1891" w:type="dxa"/>
            <w:vAlign w:val="center"/>
          </w:tcPr>
          <w:p w14:paraId="2D463303">
            <w:pPr>
              <w:pStyle w:val="19"/>
              <w:spacing w:line="440" w:lineRule="atLeast"/>
              <w:jc w:val="center"/>
              <w:rPr>
                <w:rFonts w:hint="eastAsia" w:hAnsi="宋体" w:eastAsia="宋体"/>
                <w:bCs/>
                <w:color w:val="auto"/>
                <w:sz w:val="22"/>
                <w:szCs w:val="22"/>
                <w:highlight w:val="none"/>
              </w:rPr>
            </w:pPr>
            <w:r>
              <w:rPr>
                <w:rFonts w:hint="eastAsia" w:hAnsi="宋体" w:eastAsia="宋体"/>
                <w:bCs/>
                <w:color w:val="auto"/>
                <w:sz w:val="22"/>
                <w:szCs w:val="22"/>
                <w:highlight w:val="none"/>
              </w:rPr>
              <w:t>备 注</w:t>
            </w:r>
          </w:p>
        </w:tc>
      </w:tr>
      <w:tr w14:paraId="67C1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tcBorders>
              <w:top w:val="single" w:color="auto" w:sz="4" w:space="0"/>
              <w:left w:val="single" w:color="auto" w:sz="4" w:space="0"/>
              <w:right w:val="single" w:color="auto" w:sz="4" w:space="0"/>
            </w:tcBorders>
          </w:tcPr>
          <w:p w14:paraId="5F0D260E">
            <w:pPr>
              <w:pStyle w:val="19"/>
              <w:spacing w:line="440" w:lineRule="atLeast"/>
              <w:jc w:val="center"/>
              <w:rPr>
                <w:rFonts w:hint="eastAsia" w:hAnsi="宋体" w:eastAsia="宋体"/>
                <w:b/>
                <w:color w:val="auto"/>
                <w:sz w:val="22"/>
                <w:szCs w:val="22"/>
                <w:highlight w:val="none"/>
              </w:rPr>
            </w:pPr>
          </w:p>
        </w:tc>
        <w:tc>
          <w:tcPr>
            <w:tcW w:w="3885" w:type="dxa"/>
            <w:tcBorders>
              <w:top w:val="single" w:color="auto" w:sz="4" w:space="0"/>
              <w:left w:val="single" w:color="auto" w:sz="4" w:space="0"/>
              <w:right w:val="single" w:color="auto" w:sz="4" w:space="0"/>
            </w:tcBorders>
          </w:tcPr>
          <w:p w14:paraId="47D73E73">
            <w:pPr>
              <w:pStyle w:val="19"/>
              <w:spacing w:line="440" w:lineRule="atLeast"/>
              <w:jc w:val="center"/>
              <w:rPr>
                <w:rFonts w:hint="eastAsia" w:hAnsi="宋体" w:eastAsia="宋体"/>
                <w:b/>
                <w:color w:val="auto"/>
                <w:sz w:val="22"/>
                <w:szCs w:val="22"/>
                <w:highlight w:val="none"/>
              </w:rPr>
            </w:pPr>
          </w:p>
        </w:tc>
        <w:tc>
          <w:tcPr>
            <w:tcW w:w="2145" w:type="dxa"/>
            <w:tcBorders>
              <w:top w:val="single" w:color="auto" w:sz="4" w:space="0"/>
              <w:left w:val="single" w:color="auto" w:sz="4" w:space="0"/>
              <w:right w:val="single" w:color="auto" w:sz="4" w:space="0"/>
            </w:tcBorders>
          </w:tcPr>
          <w:p w14:paraId="14D07C03">
            <w:pPr>
              <w:pStyle w:val="19"/>
              <w:spacing w:line="440" w:lineRule="atLeast"/>
              <w:jc w:val="center"/>
              <w:rPr>
                <w:rFonts w:hint="eastAsia" w:hAnsi="宋体" w:eastAsia="宋体"/>
                <w:b/>
                <w:color w:val="auto"/>
                <w:sz w:val="22"/>
                <w:szCs w:val="22"/>
                <w:highlight w:val="none"/>
              </w:rPr>
            </w:pPr>
          </w:p>
        </w:tc>
        <w:tc>
          <w:tcPr>
            <w:tcW w:w="1891" w:type="dxa"/>
            <w:tcBorders>
              <w:top w:val="single" w:color="auto" w:sz="4" w:space="0"/>
              <w:left w:val="single" w:color="auto" w:sz="4" w:space="0"/>
              <w:right w:val="single" w:color="auto" w:sz="4" w:space="0"/>
            </w:tcBorders>
          </w:tcPr>
          <w:p w14:paraId="36C6F9B7">
            <w:pPr>
              <w:pStyle w:val="19"/>
              <w:spacing w:line="440" w:lineRule="atLeast"/>
              <w:jc w:val="center"/>
              <w:rPr>
                <w:rFonts w:hint="eastAsia" w:hAnsi="宋体" w:eastAsia="宋体"/>
                <w:b/>
                <w:color w:val="auto"/>
                <w:sz w:val="22"/>
                <w:szCs w:val="22"/>
                <w:highlight w:val="none"/>
              </w:rPr>
            </w:pPr>
          </w:p>
        </w:tc>
      </w:tr>
      <w:tr w14:paraId="3D4F3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tcBorders>
              <w:top w:val="single" w:color="auto" w:sz="4" w:space="0"/>
              <w:left w:val="single" w:color="auto" w:sz="4" w:space="0"/>
              <w:right w:val="single" w:color="auto" w:sz="4" w:space="0"/>
            </w:tcBorders>
          </w:tcPr>
          <w:p w14:paraId="4B2D1E29">
            <w:pPr>
              <w:pStyle w:val="19"/>
              <w:spacing w:line="440" w:lineRule="atLeast"/>
              <w:jc w:val="center"/>
              <w:rPr>
                <w:rFonts w:hint="eastAsia" w:hAnsi="宋体" w:eastAsia="宋体"/>
                <w:b/>
                <w:color w:val="auto"/>
                <w:sz w:val="22"/>
                <w:szCs w:val="22"/>
                <w:highlight w:val="none"/>
              </w:rPr>
            </w:pPr>
          </w:p>
        </w:tc>
        <w:tc>
          <w:tcPr>
            <w:tcW w:w="3885" w:type="dxa"/>
            <w:tcBorders>
              <w:top w:val="single" w:color="auto" w:sz="4" w:space="0"/>
              <w:left w:val="single" w:color="auto" w:sz="4" w:space="0"/>
              <w:right w:val="single" w:color="auto" w:sz="4" w:space="0"/>
            </w:tcBorders>
          </w:tcPr>
          <w:p w14:paraId="702F794A">
            <w:pPr>
              <w:pStyle w:val="19"/>
              <w:spacing w:line="440" w:lineRule="atLeast"/>
              <w:jc w:val="center"/>
              <w:rPr>
                <w:rFonts w:hint="eastAsia" w:hAnsi="宋体" w:eastAsia="宋体"/>
                <w:b/>
                <w:color w:val="auto"/>
                <w:sz w:val="22"/>
                <w:szCs w:val="22"/>
                <w:highlight w:val="none"/>
              </w:rPr>
            </w:pPr>
          </w:p>
        </w:tc>
        <w:tc>
          <w:tcPr>
            <w:tcW w:w="2145" w:type="dxa"/>
            <w:tcBorders>
              <w:top w:val="single" w:color="auto" w:sz="4" w:space="0"/>
              <w:left w:val="single" w:color="auto" w:sz="4" w:space="0"/>
              <w:right w:val="single" w:color="auto" w:sz="4" w:space="0"/>
            </w:tcBorders>
          </w:tcPr>
          <w:p w14:paraId="1792171C">
            <w:pPr>
              <w:pStyle w:val="19"/>
              <w:spacing w:line="440" w:lineRule="atLeast"/>
              <w:jc w:val="center"/>
              <w:rPr>
                <w:rFonts w:hint="eastAsia" w:hAnsi="宋体" w:eastAsia="宋体"/>
                <w:b/>
                <w:color w:val="auto"/>
                <w:sz w:val="22"/>
                <w:szCs w:val="22"/>
                <w:highlight w:val="none"/>
              </w:rPr>
            </w:pPr>
          </w:p>
        </w:tc>
        <w:tc>
          <w:tcPr>
            <w:tcW w:w="1891" w:type="dxa"/>
            <w:tcBorders>
              <w:top w:val="single" w:color="auto" w:sz="4" w:space="0"/>
              <w:left w:val="single" w:color="auto" w:sz="4" w:space="0"/>
              <w:right w:val="single" w:color="auto" w:sz="4" w:space="0"/>
            </w:tcBorders>
          </w:tcPr>
          <w:p w14:paraId="4884A9B2">
            <w:pPr>
              <w:pStyle w:val="19"/>
              <w:spacing w:line="440" w:lineRule="atLeast"/>
              <w:jc w:val="center"/>
              <w:rPr>
                <w:rFonts w:hint="eastAsia" w:hAnsi="宋体" w:eastAsia="宋体"/>
                <w:b/>
                <w:color w:val="auto"/>
                <w:sz w:val="22"/>
                <w:szCs w:val="22"/>
                <w:highlight w:val="none"/>
              </w:rPr>
            </w:pPr>
          </w:p>
        </w:tc>
      </w:tr>
      <w:tr w14:paraId="78C3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tcBorders>
              <w:top w:val="single" w:color="auto" w:sz="4" w:space="0"/>
              <w:left w:val="single" w:color="auto" w:sz="4" w:space="0"/>
              <w:right w:val="single" w:color="auto" w:sz="4" w:space="0"/>
            </w:tcBorders>
          </w:tcPr>
          <w:p w14:paraId="65829269">
            <w:pPr>
              <w:pStyle w:val="19"/>
              <w:spacing w:line="440" w:lineRule="atLeast"/>
              <w:jc w:val="center"/>
              <w:rPr>
                <w:rFonts w:hint="eastAsia" w:hAnsi="宋体" w:eastAsia="宋体"/>
                <w:b/>
                <w:color w:val="auto"/>
                <w:sz w:val="22"/>
                <w:szCs w:val="22"/>
                <w:highlight w:val="none"/>
              </w:rPr>
            </w:pPr>
          </w:p>
        </w:tc>
        <w:tc>
          <w:tcPr>
            <w:tcW w:w="3885" w:type="dxa"/>
            <w:tcBorders>
              <w:top w:val="single" w:color="auto" w:sz="4" w:space="0"/>
              <w:left w:val="single" w:color="auto" w:sz="4" w:space="0"/>
              <w:right w:val="single" w:color="auto" w:sz="4" w:space="0"/>
            </w:tcBorders>
          </w:tcPr>
          <w:p w14:paraId="6FA5C6A7">
            <w:pPr>
              <w:pStyle w:val="19"/>
              <w:spacing w:line="440" w:lineRule="atLeast"/>
              <w:jc w:val="center"/>
              <w:rPr>
                <w:rFonts w:hint="eastAsia" w:hAnsi="宋体" w:eastAsia="宋体"/>
                <w:b/>
                <w:color w:val="auto"/>
                <w:sz w:val="22"/>
                <w:szCs w:val="22"/>
                <w:highlight w:val="none"/>
              </w:rPr>
            </w:pPr>
          </w:p>
        </w:tc>
        <w:tc>
          <w:tcPr>
            <w:tcW w:w="2145" w:type="dxa"/>
            <w:tcBorders>
              <w:top w:val="single" w:color="auto" w:sz="4" w:space="0"/>
              <w:left w:val="single" w:color="auto" w:sz="4" w:space="0"/>
              <w:right w:val="single" w:color="auto" w:sz="4" w:space="0"/>
            </w:tcBorders>
          </w:tcPr>
          <w:p w14:paraId="6F8119CA">
            <w:pPr>
              <w:pStyle w:val="19"/>
              <w:spacing w:line="440" w:lineRule="atLeast"/>
              <w:jc w:val="center"/>
              <w:rPr>
                <w:rFonts w:hint="eastAsia" w:hAnsi="宋体" w:eastAsia="宋体"/>
                <w:b/>
                <w:color w:val="auto"/>
                <w:sz w:val="22"/>
                <w:szCs w:val="22"/>
                <w:highlight w:val="none"/>
              </w:rPr>
            </w:pPr>
          </w:p>
        </w:tc>
        <w:tc>
          <w:tcPr>
            <w:tcW w:w="1891" w:type="dxa"/>
            <w:tcBorders>
              <w:top w:val="single" w:color="auto" w:sz="4" w:space="0"/>
              <w:left w:val="single" w:color="auto" w:sz="4" w:space="0"/>
              <w:right w:val="single" w:color="auto" w:sz="4" w:space="0"/>
            </w:tcBorders>
          </w:tcPr>
          <w:p w14:paraId="140ADAA6">
            <w:pPr>
              <w:pStyle w:val="19"/>
              <w:spacing w:line="440" w:lineRule="atLeast"/>
              <w:jc w:val="center"/>
              <w:rPr>
                <w:rFonts w:hint="eastAsia" w:hAnsi="宋体" w:eastAsia="宋体"/>
                <w:b/>
                <w:color w:val="auto"/>
                <w:sz w:val="22"/>
                <w:szCs w:val="22"/>
                <w:highlight w:val="none"/>
              </w:rPr>
            </w:pPr>
          </w:p>
        </w:tc>
      </w:tr>
      <w:tr w14:paraId="03DA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tcBorders>
              <w:top w:val="single" w:color="auto" w:sz="4" w:space="0"/>
              <w:left w:val="single" w:color="auto" w:sz="4" w:space="0"/>
              <w:right w:val="single" w:color="auto" w:sz="4" w:space="0"/>
            </w:tcBorders>
          </w:tcPr>
          <w:p w14:paraId="784AAAA2">
            <w:pPr>
              <w:pStyle w:val="19"/>
              <w:spacing w:line="440" w:lineRule="atLeast"/>
              <w:jc w:val="center"/>
              <w:rPr>
                <w:rFonts w:hint="eastAsia" w:hAnsi="宋体" w:eastAsia="宋体"/>
                <w:b/>
                <w:color w:val="auto"/>
                <w:sz w:val="22"/>
                <w:szCs w:val="22"/>
                <w:highlight w:val="none"/>
              </w:rPr>
            </w:pPr>
          </w:p>
        </w:tc>
        <w:tc>
          <w:tcPr>
            <w:tcW w:w="3885" w:type="dxa"/>
            <w:tcBorders>
              <w:top w:val="single" w:color="auto" w:sz="4" w:space="0"/>
              <w:left w:val="single" w:color="auto" w:sz="4" w:space="0"/>
              <w:right w:val="single" w:color="auto" w:sz="4" w:space="0"/>
            </w:tcBorders>
          </w:tcPr>
          <w:p w14:paraId="3BE4D2E9">
            <w:pPr>
              <w:pStyle w:val="19"/>
              <w:spacing w:line="440" w:lineRule="atLeast"/>
              <w:jc w:val="center"/>
              <w:rPr>
                <w:rFonts w:hint="eastAsia" w:hAnsi="宋体" w:eastAsia="宋体"/>
                <w:b/>
                <w:color w:val="auto"/>
                <w:sz w:val="22"/>
                <w:szCs w:val="22"/>
                <w:highlight w:val="none"/>
              </w:rPr>
            </w:pPr>
          </w:p>
        </w:tc>
        <w:tc>
          <w:tcPr>
            <w:tcW w:w="2145" w:type="dxa"/>
            <w:tcBorders>
              <w:top w:val="single" w:color="auto" w:sz="4" w:space="0"/>
              <w:left w:val="single" w:color="auto" w:sz="4" w:space="0"/>
              <w:right w:val="single" w:color="auto" w:sz="4" w:space="0"/>
            </w:tcBorders>
          </w:tcPr>
          <w:p w14:paraId="789DFEC3">
            <w:pPr>
              <w:pStyle w:val="19"/>
              <w:spacing w:line="440" w:lineRule="atLeast"/>
              <w:jc w:val="center"/>
              <w:rPr>
                <w:rFonts w:hint="eastAsia" w:hAnsi="宋体" w:eastAsia="宋体"/>
                <w:b/>
                <w:color w:val="auto"/>
                <w:sz w:val="22"/>
                <w:szCs w:val="22"/>
                <w:highlight w:val="none"/>
              </w:rPr>
            </w:pPr>
          </w:p>
        </w:tc>
        <w:tc>
          <w:tcPr>
            <w:tcW w:w="1891" w:type="dxa"/>
            <w:tcBorders>
              <w:top w:val="single" w:color="auto" w:sz="4" w:space="0"/>
              <w:left w:val="single" w:color="auto" w:sz="4" w:space="0"/>
              <w:right w:val="single" w:color="auto" w:sz="4" w:space="0"/>
            </w:tcBorders>
          </w:tcPr>
          <w:p w14:paraId="67C6492A">
            <w:pPr>
              <w:pStyle w:val="19"/>
              <w:spacing w:line="440" w:lineRule="atLeast"/>
              <w:jc w:val="center"/>
              <w:rPr>
                <w:rFonts w:hint="eastAsia" w:hAnsi="宋体" w:eastAsia="宋体"/>
                <w:b/>
                <w:color w:val="auto"/>
                <w:sz w:val="22"/>
                <w:szCs w:val="22"/>
                <w:highlight w:val="none"/>
              </w:rPr>
            </w:pPr>
          </w:p>
        </w:tc>
      </w:tr>
      <w:tr w14:paraId="72FB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tcBorders>
              <w:top w:val="single" w:color="auto" w:sz="4" w:space="0"/>
              <w:left w:val="single" w:color="auto" w:sz="4" w:space="0"/>
              <w:right w:val="single" w:color="auto" w:sz="4" w:space="0"/>
            </w:tcBorders>
          </w:tcPr>
          <w:p w14:paraId="61BB0162">
            <w:pPr>
              <w:pStyle w:val="19"/>
              <w:spacing w:line="440" w:lineRule="atLeast"/>
              <w:jc w:val="center"/>
              <w:rPr>
                <w:rFonts w:hint="eastAsia" w:hAnsi="宋体" w:eastAsia="宋体"/>
                <w:b/>
                <w:color w:val="auto"/>
                <w:sz w:val="22"/>
                <w:szCs w:val="22"/>
                <w:highlight w:val="none"/>
              </w:rPr>
            </w:pPr>
          </w:p>
        </w:tc>
        <w:tc>
          <w:tcPr>
            <w:tcW w:w="3885" w:type="dxa"/>
            <w:tcBorders>
              <w:top w:val="single" w:color="auto" w:sz="4" w:space="0"/>
              <w:left w:val="single" w:color="auto" w:sz="4" w:space="0"/>
              <w:right w:val="single" w:color="auto" w:sz="4" w:space="0"/>
            </w:tcBorders>
          </w:tcPr>
          <w:p w14:paraId="49FE290C">
            <w:pPr>
              <w:pStyle w:val="19"/>
              <w:spacing w:line="440" w:lineRule="atLeast"/>
              <w:jc w:val="center"/>
              <w:rPr>
                <w:rFonts w:hint="eastAsia" w:hAnsi="宋体" w:eastAsia="宋体"/>
                <w:b/>
                <w:color w:val="auto"/>
                <w:sz w:val="22"/>
                <w:szCs w:val="22"/>
                <w:highlight w:val="none"/>
              </w:rPr>
            </w:pPr>
          </w:p>
        </w:tc>
        <w:tc>
          <w:tcPr>
            <w:tcW w:w="2145" w:type="dxa"/>
            <w:tcBorders>
              <w:top w:val="single" w:color="auto" w:sz="4" w:space="0"/>
              <w:left w:val="single" w:color="auto" w:sz="4" w:space="0"/>
              <w:right w:val="single" w:color="auto" w:sz="4" w:space="0"/>
            </w:tcBorders>
          </w:tcPr>
          <w:p w14:paraId="67705E82">
            <w:pPr>
              <w:pStyle w:val="19"/>
              <w:spacing w:line="440" w:lineRule="atLeast"/>
              <w:jc w:val="center"/>
              <w:rPr>
                <w:rFonts w:hint="eastAsia" w:hAnsi="宋体" w:eastAsia="宋体"/>
                <w:b/>
                <w:color w:val="auto"/>
                <w:sz w:val="22"/>
                <w:szCs w:val="22"/>
                <w:highlight w:val="none"/>
              </w:rPr>
            </w:pPr>
          </w:p>
        </w:tc>
        <w:tc>
          <w:tcPr>
            <w:tcW w:w="1891" w:type="dxa"/>
            <w:tcBorders>
              <w:top w:val="single" w:color="auto" w:sz="4" w:space="0"/>
              <w:left w:val="single" w:color="auto" w:sz="4" w:space="0"/>
              <w:right w:val="single" w:color="auto" w:sz="4" w:space="0"/>
            </w:tcBorders>
          </w:tcPr>
          <w:p w14:paraId="26E7C5FF">
            <w:pPr>
              <w:pStyle w:val="19"/>
              <w:spacing w:line="440" w:lineRule="atLeast"/>
              <w:jc w:val="center"/>
              <w:rPr>
                <w:rFonts w:hint="eastAsia" w:hAnsi="宋体" w:eastAsia="宋体"/>
                <w:b/>
                <w:color w:val="auto"/>
                <w:sz w:val="22"/>
                <w:szCs w:val="22"/>
                <w:highlight w:val="none"/>
              </w:rPr>
            </w:pPr>
          </w:p>
        </w:tc>
      </w:tr>
      <w:tr w14:paraId="576F8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tcBorders>
              <w:top w:val="single" w:color="auto" w:sz="4" w:space="0"/>
              <w:left w:val="single" w:color="auto" w:sz="4" w:space="0"/>
              <w:right w:val="single" w:color="auto" w:sz="4" w:space="0"/>
            </w:tcBorders>
          </w:tcPr>
          <w:p w14:paraId="3E451579">
            <w:pPr>
              <w:pStyle w:val="19"/>
              <w:spacing w:line="440" w:lineRule="atLeast"/>
              <w:jc w:val="center"/>
              <w:rPr>
                <w:rFonts w:hint="eastAsia" w:hAnsi="宋体" w:eastAsia="宋体"/>
                <w:b/>
                <w:color w:val="auto"/>
                <w:sz w:val="22"/>
                <w:szCs w:val="22"/>
                <w:highlight w:val="none"/>
              </w:rPr>
            </w:pPr>
          </w:p>
        </w:tc>
        <w:tc>
          <w:tcPr>
            <w:tcW w:w="3885" w:type="dxa"/>
            <w:tcBorders>
              <w:top w:val="single" w:color="auto" w:sz="4" w:space="0"/>
              <w:left w:val="single" w:color="auto" w:sz="4" w:space="0"/>
              <w:right w:val="single" w:color="auto" w:sz="4" w:space="0"/>
            </w:tcBorders>
          </w:tcPr>
          <w:p w14:paraId="2059B240">
            <w:pPr>
              <w:pStyle w:val="19"/>
              <w:spacing w:line="440" w:lineRule="atLeast"/>
              <w:jc w:val="center"/>
              <w:rPr>
                <w:rFonts w:hint="eastAsia" w:hAnsi="宋体" w:eastAsia="宋体"/>
                <w:b/>
                <w:color w:val="auto"/>
                <w:sz w:val="22"/>
                <w:szCs w:val="22"/>
                <w:highlight w:val="none"/>
              </w:rPr>
            </w:pPr>
          </w:p>
        </w:tc>
        <w:tc>
          <w:tcPr>
            <w:tcW w:w="2145" w:type="dxa"/>
            <w:tcBorders>
              <w:top w:val="single" w:color="auto" w:sz="4" w:space="0"/>
              <w:left w:val="single" w:color="auto" w:sz="4" w:space="0"/>
              <w:right w:val="single" w:color="auto" w:sz="4" w:space="0"/>
            </w:tcBorders>
          </w:tcPr>
          <w:p w14:paraId="59F00E99">
            <w:pPr>
              <w:pStyle w:val="19"/>
              <w:spacing w:line="440" w:lineRule="atLeast"/>
              <w:jc w:val="center"/>
              <w:rPr>
                <w:rFonts w:hint="eastAsia" w:hAnsi="宋体" w:eastAsia="宋体"/>
                <w:b/>
                <w:color w:val="auto"/>
                <w:sz w:val="22"/>
                <w:szCs w:val="22"/>
                <w:highlight w:val="none"/>
              </w:rPr>
            </w:pPr>
          </w:p>
        </w:tc>
        <w:tc>
          <w:tcPr>
            <w:tcW w:w="1891" w:type="dxa"/>
            <w:tcBorders>
              <w:top w:val="single" w:color="auto" w:sz="4" w:space="0"/>
              <w:left w:val="single" w:color="auto" w:sz="4" w:space="0"/>
              <w:right w:val="single" w:color="auto" w:sz="4" w:space="0"/>
            </w:tcBorders>
          </w:tcPr>
          <w:p w14:paraId="5BDA861D">
            <w:pPr>
              <w:pStyle w:val="19"/>
              <w:spacing w:line="440" w:lineRule="atLeast"/>
              <w:jc w:val="center"/>
              <w:rPr>
                <w:rFonts w:hint="eastAsia" w:hAnsi="宋体" w:eastAsia="宋体"/>
                <w:b/>
                <w:color w:val="auto"/>
                <w:sz w:val="22"/>
                <w:szCs w:val="22"/>
                <w:highlight w:val="none"/>
              </w:rPr>
            </w:pPr>
          </w:p>
        </w:tc>
      </w:tr>
      <w:tr w14:paraId="5DEF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tcBorders>
              <w:top w:val="single" w:color="auto" w:sz="4" w:space="0"/>
              <w:left w:val="single" w:color="auto" w:sz="4" w:space="0"/>
              <w:right w:val="single" w:color="auto" w:sz="4" w:space="0"/>
            </w:tcBorders>
          </w:tcPr>
          <w:p w14:paraId="5028D542">
            <w:pPr>
              <w:pStyle w:val="19"/>
              <w:spacing w:line="440" w:lineRule="atLeast"/>
              <w:jc w:val="center"/>
              <w:rPr>
                <w:rFonts w:hint="eastAsia" w:hAnsi="宋体" w:eastAsia="宋体"/>
                <w:b/>
                <w:color w:val="auto"/>
                <w:sz w:val="22"/>
                <w:szCs w:val="22"/>
                <w:highlight w:val="none"/>
              </w:rPr>
            </w:pPr>
          </w:p>
        </w:tc>
        <w:tc>
          <w:tcPr>
            <w:tcW w:w="3885" w:type="dxa"/>
            <w:tcBorders>
              <w:top w:val="single" w:color="auto" w:sz="4" w:space="0"/>
              <w:left w:val="single" w:color="auto" w:sz="4" w:space="0"/>
              <w:right w:val="single" w:color="auto" w:sz="4" w:space="0"/>
            </w:tcBorders>
          </w:tcPr>
          <w:p w14:paraId="1F69DA98">
            <w:pPr>
              <w:pStyle w:val="19"/>
              <w:spacing w:line="440" w:lineRule="atLeast"/>
              <w:jc w:val="center"/>
              <w:rPr>
                <w:rFonts w:hint="eastAsia" w:hAnsi="宋体" w:eastAsia="宋体"/>
                <w:b/>
                <w:color w:val="auto"/>
                <w:sz w:val="22"/>
                <w:szCs w:val="22"/>
                <w:highlight w:val="none"/>
              </w:rPr>
            </w:pPr>
          </w:p>
        </w:tc>
        <w:tc>
          <w:tcPr>
            <w:tcW w:w="2145" w:type="dxa"/>
            <w:tcBorders>
              <w:top w:val="single" w:color="auto" w:sz="4" w:space="0"/>
              <w:left w:val="single" w:color="auto" w:sz="4" w:space="0"/>
              <w:right w:val="single" w:color="auto" w:sz="4" w:space="0"/>
            </w:tcBorders>
          </w:tcPr>
          <w:p w14:paraId="3A8D828A">
            <w:pPr>
              <w:pStyle w:val="19"/>
              <w:spacing w:line="440" w:lineRule="atLeast"/>
              <w:jc w:val="center"/>
              <w:rPr>
                <w:rFonts w:hint="eastAsia" w:hAnsi="宋体" w:eastAsia="宋体"/>
                <w:b/>
                <w:color w:val="auto"/>
                <w:sz w:val="22"/>
                <w:szCs w:val="22"/>
                <w:highlight w:val="none"/>
              </w:rPr>
            </w:pPr>
          </w:p>
        </w:tc>
        <w:tc>
          <w:tcPr>
            <w:tcW w:w="1891" w:type="dxa"/>
            <w:tcBorders>
              <w:top w:val="single" w:color="auto" w:sz="4" w:space="0"/>
              <w:left w:val="single" w:color="auto" w:sz="4" w:space="0"/>
              <w:right w:val="single" w:color="auto" w:sz="4" w:space="0"/>
            </w:tcBorders>
          </w:tcPr>
          <w:p w14:paraId="3076A1D4">
            <w:pPr>
              <w:pStyle w:val="19"/>
              <w:spacing w:line="440" w:lineRule="atLeast"/>
              <w:jc w:val="center"/>
              <w:rPr>
                <w:rFonts w:hint="eastAsia" w:hAnsi="宋体" w:eastAsia="宋体"/>
                <w:b/>
                <w:color w:val="auto"/>
                <w:sz w:val="22"/>
                <w:szCs w:val="22"/>
                <w:highlight w:val="none"/>
              </w:rPr>
            </w:pPr>
          </w:p>
        </w:tc>
      </w:tr>
      <w:tr w14:paraId="34A4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tcBorders>
              <w:top w:val="single" w:color="auto" w:sz="4" w:space="0"/>
              <w:left w:val="single" w:color="auto" w:sz="4" w:space="0"/>
              <w:right w:val="single" w:color="auto" w:sz="4" w:space="0"/>
            </w:tcBorders>
          </w:tcPr>
          <w:p w14:paraId="4DD1AA9A">
            <w:pPr>
              <w:pStyle w:val="19"/>
              <w:spacing w:line="440" w:lineRule="atLeast"/>
              <w:jc w:val="center"/>
              <w:rPr>
                <w:rFonts w:hint="eastAsia" w:hAnsi="宋体" w:eastAsia="宋体"/>
                <w:b/>
                <w:color w:val="auto"/>
                <w:sz w:val="22"/>
                <w:szCs w:val="22"/>
                <w:highlight w:val="none"/>
              </w:rPr>
            </w:pPr>
          </w:p>
        </w:tc>
        <w:tc>
          <w:tcPr>
            <w:tcW w:w="3885" w:type="dxa"/>
            <w:tcBorders>
              <w:top w:val="single" w:color="auto" w:sz="4" w:space="0"/>
              <w:left w:val="single" w:color="auto" w:sz="4" w:space="0"/>
              <w:right w:val="single" w:color="auto" w:sz="4" w:space="0"/>
            </w:tcBorders>
          </w:tcPr>
          <w:p w14:paraId="17CCEEDD">
            <w:pPr>
              <w:pStyle w:val="19"/>
              <w:spacing w:line="440" w:lineRule="atLeast"/>
              <w:jc w:val="center"/>
              <w:rPr>
                <w:rFonts w:hint="eastAsia" w:hAnsi="宋体" w:eastAsia="宋体"/>
                <w:b/>
                <w:color w:val="auto"/>
                <w:sz w:val="22"/>
                <w:szCs w:val="22"/>
                <w:highlight w:val="none"/>
              </w:rPr>
            </w:pPr>
          </w:p>
        </w:tc>
        <w:tc>
          <w:tcPr>
            <w:tcW w:w="2145" w:type="dxa"/>
            <w:tcBorders>
              <w:top w:val="single" w:color="auto" w:sz="4" w:space="0"/>
              <w:left w:val="single" w:color="auto" w:sz="4" w:space="0"/>
              <w:right w:val="single" w:color="auto" w:sz="4" w:space="0"/>
            </w:tcBorders>
          </w:tcPr>
          <w:p w14:paraId="2ABD2232">
            <w:pPr>
              <w:pStyle w:val="19"/>
              <w:spacing w:line="440" w:lineRule="atLeast"/>
              <w:jc w:val="center"/>
              <w:rPr>
                <w:rFonts w:hint="eastAsia" w:hAnsi="宋体" w:eastAsia="宋体"/>
                <w:b/>
                <w:color w:val="auto"/>
                <w:sz w:val="22"/>
                <w:szCs w:val="22"/>
                <w:highlight w:val="none"/>
              </w:rPr>
            </w:pPr>
          </w:p>
        </w:tc>
        <w:tc>
          <w:tcPr>
            <w:tcW w:w="1891" w:type="dxa"/>
            <w:tcBorders>
              <w:top w:val="single" w:color="auto" w:sz="4" w:space="0"/>
              <w:left w:val="single" w:color="auto" w:sz="4" w:space="0"/>
              <w:right w:val="single" w:color="auto" w:sz="4" w:space="0"/>
            </w:tcBorders>
          </w:tcPr>
          <w:p w14:paraId="787BD6D6">
            <w:pPr>
              <w:pStyle w:val="19"/>
              <w:spacing w:line="440" w:lineRule="atLeast"/>
              <w:jc w:val="center"/>
              <w:rPr>
                <w:rFonts w:hint="eastAsia" w:hAnsi="宋体" w:eastAsia="宋体"/>
                <w:b/>
                <w:color w:val="auto"/>
                <w:sz w:val="22"/>
                <w:szCs w:val="22"/>
                <w:highlight w:val="none"/>
              </w:rPr>
            </w:pPr>
          </w:p>
        </w:tc>
      </w:tr>
      <w:tr w14:paraId="54F3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tcBorders>
              <w:top w:val="single" w:color="auto" w:sz="4" w:space="0"/>
              <w:left w:val="single" w:color="auto" w:sz="4" w:space="0"/>
              <w:right w:val="single" w:color="auto" w:sz="4" w:space="0"/>
            </w:tcBorders>
          </w:tcPr>
          <w:p w14:paraId="215A3432">
            <w:pPr>
              <w:pStyle w:val="19"/>
              <w:spacing w:line="440" w:lineRule="atLeast"/>
              <w:jc w:val="center"/>
              <w:rPr>
                <w:rFonts w:hint="eastAsia" w:hAnsi="宋体" w:eastAsia="宋体"/>
                <w:b/>
                <w:color w:val="auto"/>
                <w:sz w:val="22"/>
                <w:szCs w:val="22"/>
                <w:highlight w:val="none"/>
              </w:rPr>
            </w:pPr>
          </w:p>
        </w:tc>
        <w:tc>
          <w:tcPr>
            <w:tcW w:w="3885" w:type="dxa"/>
            <w:tcBorders>
              <w:top w:val="single" w:color="auto" w:sz="4" w:space="0"/>
              <w:left w:val="single" w:color="auto" w:sz="4" w:space="0"/>
              <w:right w:val="single" w:color="auto" w:sz="4" w:space="0"/>
            </w:tcBorders>
          </w:tcPr>
          <w:p w14:paraId="760D4574">
            <w:pPr>
              <w:pStyle w:val="19"/>
              <w:spacing w:line="440" w:lineRule="atLeast"/>
              <w:jc w:val="center"/>
              <w:rPr>
                <w:rFonts w:hint="eastAsia" w:hAnsi="宋体" w:eastAsia="宋体"/>
                <w:b/>
                <w:color w:val="auto"/>
                <w:sz w:val="22"/>
                <w:szCs w:val="22"/>
                <w:highlight w:val="none"/>
              </w:rPr>
            </w:pPr>
          </w:p>
        </w:tc>
        <w:tc>
          <w:tcPr>
            <w:tcW w:w="2145" w:type="dxa"/>
            <w:tcBorders>
              <w:top w:val="single" w:color="auto" w:sz="4" w:space="0"/>
              <w:left w:val="single" w:color="auto" w:sz="4" w:space="0"/>
              <w:right w:val="single" w:color="auto" w:sz="4" w:space="0"/>
            </w:tcBorders>
          </w:tcPr>
          <w:p w14:paraId="489C6399">
            <w:pPr>
              <w:pStyle w:val="19"/>
              <w:spacing w:line="440" w:lineRule="atLeast"/>
              <w:jc w:val="center"/>
              <w:rPr>
                <w:rFonts w:hint="eastAsia" w:hAnsi="宋体" w:eastAsia="宋体"/>
                <w:b/>
                <w:color w:val="auto"/>
                <w:sz w:val="22"/>
                <w:szCs w:val="22"/>
                <w:highlight w:val="none"/>
              </w:rPr>
            </w:pPr>
          </w:p>
        </w:tc>
        <w:tc>
          <w:tcPr>
            <w:tcW w:w="1891" w:type="dxa"/>
            <w:tcBorders>
              <w:top w:val="single" w:color="auto" w:sz="4" w:space="0"/>
              <w:left w:val="single" w:color="auto" w:sz="4" w:space="0"/>
              <w:right w:val="single" w:color="auto" w:sz="4" w:space="0"/>
            </w:tcBorders>
          </w:tcPr>
          <w:p w14:paraId="6FC15606">
            <w:pPr>
              <w:pStyle w:val="19"/>
              <w:spacing w:line="440" w:lineRule="atLeast"/>
              <w:jc w:val="center"/>
              <w:rPr>
                <w:rFonts w:hint="eastAsia" w:hAnsi="宋体" w:eastAsia="宋体"/>
                <w:b/>
                <w:color w:val="auto"/>
                <w:sz w:val="22"/>
                <w:szCs w:val="22"/>
                <w:highlight w:val="none"/>
              </w:rPr>
            </w:pPr>
          </w:p>
        </w:tc>
      </w:tr>
      <w:tr w14:paraId="1794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tcBorders>
              <w:top w:val="single" w:color="auto" w:sz="4" w:space="0"/>
              <w:left w:val="single" w:color="auto" w:sz="4" w:space="0"/>
              <w:right w:val="single" w:color="auto" w:sz="4" w:space="0"/>
            </w:tcBorders>
          </w:tcPr>
          <w:p w14:paraId="4F0BD981">
            <w:pPr>
              <w:pStyle w:val="19"/>
              <w:spacing w:line="440" w:lineRule="atLeast"/>
              <w:jc w:val="center"/>
              <w:rPr>
                <w:rFonts w:hint="eastAsia" w:hAnsi="宋体" w:eastAsia="宋体"/>
                <w:b/>
                <w:color w:val="auto"/>
                <w:sz w:val="22"/>
                <w:szCs w:val="22"/>
                <w:highlight w:val="none"/>
              </w:rPr>
            </w:pPr>
          </w:p>
        </w:tc>
        <w:tc>
          <w:tcPr>
            <w:tcW w:w="3885" w:type="dxa"/>
            <w:tcBorders>
              <w:top w:val="single" w:color="auto" w:sz="4" w:space="0"/>
              <w:left w:val="single" w:color="auto" w:sz="4" w:space="0"/>
              <w:right w:val="single" w:color="auto" w:sz="4" w:space="0"/>
            </w:tcBorders>
          </w:tcPr>
          <w:p w14:paraId="65F37272">
            <w:pPr>
              <w:pStyle w:val="19"/>
              <w:spacing w:line="440" w:lineRule="atLeast"/>
              <w:jc w:val="center"/>
              <w:rPr>
                <w:rFonts w:hint="eastAsia" w:hAnsi="宋体" w:eastAsia="宋体"/>
                <w:b/>
                <w:color w:val="auto"/>
                <w:sz w:val="22"/>
                <w:szCs w:val="22"/>
                <w:highlight w:val="none"/>
              </w:rPr>
            </w:pPr>
          </w:p>
        </w:tc>
        <w:tc>
          <w:tcPr>
            <w:tcW w:w="2145" w:type="dxa"/>
            <w:tcBorders>
              <w:top w:val="single" w:color="auto" w:sz="4" w:space="0"/>
              <w:left w:val="single" w:color="auto" w:sz="4" w:space="0"/>
              <w:right w:val="single" w:color="auto" w:sz="4" w:space="0"/>
            </w:tcBorders>
          </w:tcPr>
          <w:p w14:paraId="3A1490A6">
            <w:pPr>
              <w:pStyle w:val="19"/>
              <w:spacing w:line="440" w:lineRule="atLeast"/>
              <w:jc w:val="center"/>
              <w:rPr>
                <w:rFonts w:hint="eastAsia" w:hAnsi="宋体" w:eastAsia="宋体"/>
                <w:b/>
                <w:color w:val="auto"/>
                <w:sz w:val="22"/>
                <w:szCs w:val="22"/>
                <w:highlight w:val="none"/>
              </w:rPr>
            </w:pPr>
          </w:p>
        </w:tc>
        <w:tc>
          <w:tcPr>
            <w:tcW w:w="1891" w:type="dxa"/>
            <w:tcBorders>
              <w:top w:val="single" w:color="auto" w:sz="4" w:space="0"/>
              <w:left w:val="single" w:color="auto" w:sz="4" w:space="0"/>
              <w:right w:val="single" w:color="auto" w:sz="4" w:space="0"/>
            </w:tcBorders>
          </w:tcPr>
          <w:p w14:paraId="6825B9FF">
            <w:pPr>
              <w:pStyle w:val="19"/>
              <w:spacing w:line="440" w:lineRule="atLeast"/>
              <w:jc w:val="center"/>
              <w:rPr>
                <w:rFonts w:hint="eastAsia" w:hAnsi="宋体" w:eastAsia="宋体"/>
                <w:b/>
                <w:color w:val="auto"/>
                <w:sz w:val="22"/>
                <w:szCs w:val="22"/>
                <w:highlight w:val="none"/>
              </w:rPr>
            </w:pPr>
          </w:p>
        </w:tc>
      </w:tr>
      <w:tr w14:paraId="6C04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tcBorders>
              <w:top w:val="single" w:color="auto" w:sz="4" w:space="0"/>
              <w:left w:val="single" w:color="auto" w:sz="4" w:space="0"/>
              <w:right w:val="single" w:color="auto" w:sz="4" w:space="0"/>
            </w:tcBorders>
          </w:tcPr>
          <w:p w14:paraId="1313B099">
            <w:pPr>
              <w:pStyle w:val="19"/>
              <w:spacing w:line="440" w:lineRule="atLeast"/>
              <w:jc w:val="center"/>
              <w:rPr>
                <w:rFonts w:hint="eastAsia" w:hAnsi="宋体" w:eastAsia="宋体"/>
                <w:b/>
                <w:color w:val="auto"/>
                <w:sz w:val="22"/>
                <w:szCs w:val="22"/>
                <w:highlight w:val="none"/>
              </w:rPr>
            </w:pPr>
          </w:p>
        </w:tc>
        <w:tc>
          <w:tcPr>
            <w:tcW w:w="3885" w:type="dxa"/>
            <w:tcBorders>
              <w:top w:val="single" w:color="auto" w:sz="4" w:space="0"/>
              <w:left w:val="single" w:color="auto" w:sz="4" w:space="0"/>
              <w:right w:val="single" w:color="auto" w:sz="4" w:space="0"/>
            </w:tcBorders>
          </w:tcPr>
          <w:p w14:paraId="719A1F99">
            <w:pPr>
              <w:pStyle w:val="19"/>
              <w:spacing w:line="440" w:lineRule="atLeast"/>
              <w:jc w:val="center"/>
              <w:rPr>
                <w:rFonts w:hint="eastAsia" w:hAnsi="宋体" w:eastAsia="宋体"/>
                <w:b/>
                <w:color w:val="auto"/>
                <w:sz w:val="22"/>
                <w:szCs w:val="22"/>
                <w:highlight w:val="none"/>
              </w:rPr>
            </w:pPr>
          </w:p>
        </w:tc>
        <w:tc>
          <w:tcPr>
            <w:tcW w:w="2145" w:type="dxa"/>
            <w:tcBorders>
              <w:top w:val="single" w:color="auto" w:sz="4" w:space="0"/>
              <w:left w:val="single" w:color="auto" w:sz="4" w:space="0"/>
              <w:right w:val="single" w:color="auto" w:sz="4" w:space="0"/>
            </w:tcBorders>
          </w:tcPr>
          <w:p w14:paraId="011E636A">
            <w:pPr>
              <w:pStyle w:val="19"/>
              <w:spacing w:line="440" w:lineRule="atLeast"/>
              <w:jc w:val="center"/>
              <w:rPr>
                <w:rFonts w:hint="eastAsia" w:hAnsi="宋体" w:eastAsia="宋体"/>
                <w:b/>
                <w:color w:val="auto"/>
                <w:sz w:val="22"/>
                <w:szCs w:val="22"/>
                <w:highlight w:val="none"/>
              </w:rPr>
            </w:pPr>
          </w:p>
        </w:tc>
        <w:tc>
          <w:tcPr>
            <w:tcW w:w="1891" w:type="dxa"/>
            <w:tcBorders>
              <w:top w:val="single" w:color="auto" w:sz="4" w:space="0"/>
              <w:left w:val="single" w:color="auto" w:sz="4" w:space="0"/>
              <w:right w:val="single" w:color="auto" w:sz="4" w:space="0"/>
            </w:tcBorders>
          </w:tcPr>
          <w:p w14:paraId="384FF434">
            <w:pPr>
              <w:pStyle w:val="19"/>
              <w:spacing w:line="440" w:lineRule="atLeast"/>
              <w:jc w:val="center"/>
              <w:rPr>
                <w:rFonts w:hint="eastAsia" w:hAnsi="宋体" w:eastAsia="宋体"/>
                <w:b/>
                <w:color w:val="auto"/>
                <w:sz w:val="22"/>
                <w:szCs w:val="22"/>
                <w:highlight w:val="none"/>
              </w:rPr>
            </w:pPr>
          </w:p>
        </w:tc>
      </w:tr>
      <w:tr w14:paraId="5E70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tcBorders>
              <w:top w:val="single" w:color="auto" w:sz="4" w:space="0"/>
              <w:left w:val="single" w:color="auto" w:sz="4" w:space="0"/>
              <w:right w:val="single" w:color="auto" w:sz="4" w:space="0"/>
            </w:tcBorders>
          </w:tcPr>
          <w:p w14:paraId="05621EC2">
            <w:pPr>
              <w:pStyle w:val="19"/>
              <w:spacing w:line="440" w:lineRule="atLeast"/>
              <w:jc w:val="center"/>
              <w:rPr>
                <w:rFonts w:hint="eastAsia" w:hAnsi="宋体" w:eastAsia="宋体"/>
                <w:b/>
                <w:color w:val="auto"/>
                <w:sz w:val="22"/>
                <w:szCs w:val="22"/>
                <w:highlight w:val="none"/>
              </w:rPr>
            </w:pPr>
          </w:p>
        </w:tc>
        <w:tc>
          <w:tcPr>
            <w:tcW w:w="3885" w:type="dxa"/>
            <w:tcBorders>
              <w:top w:val="single" w:color="auto" w:sz="4" w:space="0"/>
              <w:left w:val="single" w:color="auto" w:sz="4" w:space="0"/>
              <w:right w:val="single" w:color="auto" w:sz="4" w:space="0"/>
            </w:tcBorders>
          </w:tcPr>
          <w:p w14:paraId="03C721F6">
            <w:pPr>
              <w:pStyle w:val="19"/>
              <w:spacing w:line="440" w:lineRule="atLeast"/>
              <w:jc w:val="center"/>
              <w:rPr>
                <w:rFonts w:hint="eastAsia" w:hAnsi="宋体" w:eastAsia="宋体"/>
                <w:b/>
                <w:color w:val="auto"/>
                <w:sz w:val="22"/>
                <w:szCs w:val="22"/>
                <w:highlight w:val="none"/>
              </w:rPr>
            </w:pPr>
          </w:p>
        </w:tc>
        <w:tc>
          <w:tcPr>
            <w:tcW w:w="2145" w:type="dxa"/>
            <w:tcBorders>
              <w:top w:val="single" w:color="auto" w:sz="4" w:space="0"/>
              <w:left w:val="single" w:color="auto" w:sz="4" w:space="0"/>
              <w:right w:val="single" w:color="auto" w:sz="4" w:space="0"/>
            </w:tcBorders>
          </w:tcPr>
          <w:p w14:paraId="0E136CD4">
            <w:pPr>
              <w:pStyle w:val="19"/>
              <w:spacing w:line="440" w:lineRule="atLeast"/>
              <w:jc w:val="center"/>
              <w:rPr>
                <w:rFonts w:hint="eastAsia" w:hAnsi="宋体" w:eastAsia="宋体"/>
                <w:b/>
                <w:color w:val="auto"/>
                <w:sz w:val="22"/>
                <w:szCs w:val="22"/>
                <w:highlight w:val="none"/>
              </w:rPr>
            </w:pPr>
          </w:p>
        </w:tc>
        <w:tc>
          <w:tcPr>
            <w:tcW w:w="1891" w:type="dxa"/>
            <w:tcBorders>
              <w:top w:val="single" w:color="auto" w:sz="4" w:space="0"/>
              <w:left w:val="single" w:color="auto" w:sz="4" w:space="0"/>
              <w:right w:val="single" w:color="auto" w:sz="4" w:space="0"/>
            </w:tcBorders>
          </w:tcPr>
          <w:p w14:paraId="632B3D67">
            <w:pPr>
              <w:pStyle w:val="19"/>
              <w:spacing w:line="440" w:lineRule="atLeast"/>
              <w:jc w:val="center"/>
              <w:rPr>
                <w:rFonts w:hint="eastAsia" w:hAnsi="宋体" w:eastAsia="宋体"/>
                <w:b/>
                <w:color w:val="auto"/>
                <w:sz w:val="22"/>
                <w:szCs w:val="22"/>
                <w:highlight w:val="none"/>
              </w:rPr>
            </w:pPr>
          </w:p>
        </w:tc>
      </w:tr>
      <w:tr w14:paraId="33B70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tcBorders>
              <w:top w:val="single" w:color="auto" w:sz="4" w:space="0"/>
              <w:left w:val="single" w:color="auto" w:sz="4" w:space="0"/>
              <w:right w:val="single" w:color="auto" w:sz="4" w:space="0"/>
            </w:tcBorders>
          </w:tcPr>
          <w:p w14:paraId="5AF977EB">
            <w:pPr>
              <w:pStyle w:val="19"/>
              <w:spacing w:line="440" w:lineRule="atLeast"/>
              <w:jc w:val="center"/>
              <w:rPr>
                <w:rFonts w:hint="eastAsia" w:hAnsi="宋体" w:eastAsia="宋体"/>
                <w:b/>
                <w:color w:val="auto"/>
                <w:sz w:val="22"/>
                <w:szCs w:val="22"/>
                <w:highlight w:val="none"/>
              </w:rPr>
            </w:pPr>
          </w:p>
        </w:tc>
        <w:tc>
          <w:tcPr>
            <w:tcW w:w="3885" w:type="dxa"/>
            <w:tcBorders>
              <w:top w:val="single" w:color="auto" w:sz="4" w:space="0"/>
              <w:left w:val="single" w:color="auto" w:sz="4" w:space="0"/>
              <w:right w:val="single" w:color="auto" w:sz="4" w:space="0"/>
            </w:tcBorders>
          </w:tcPr>
          <w:p w14:paraId="1FC1D593">
            <w:pPr>
              <w:pStyle w:val="19"/>
              <w:spacing w:line="440" w:lineRule="atLeast"/>
              <w:jc w:val="center"/>
              <w:rPr>
                <w:rFonts w:hint="eastAsia" w:hAnsi="宋体" w:eastAsia="宋体"/>
                <w:b/>
                <w:color w:val="auto"/>
                <w:sz w:val="22"/>
                <w:szCs w:val="22"/>
                <w:highlight w:val="none"/>
              </w:rPr>
            </w:pPr>
          </w:p>
        </w:tc>
        <w:tc>
          <w:tcPr>
            <w:tcW w:w="2145" w:type="dxa"/>
            <w:tcBorders>
              <w:top w:val="single" w:color="auto" w:sz="4" w:space="0"/>
              <w:left w:val="single" w:color="auto" w:sz="4" w:space="0"/>
              <w:right w:val="single" w:color="auto" w:sz="4" w:space="0"/>
            </w:tcBorders>
          </w:tcPr>
          <w:p w14:paraId="1AE972AB">
            <w:pPr>
              <w:pStyle w:val="19"/>
              <w:spacing w:line="440" w:lineRule="atLeast"/>
              <w:jc w:val="center"/>
              <w:rPr>
                <w:rFonts w:hint="eastAsia" w:hAnsi="宋体" w:eastAsia="宋体"/>
                <w:b/>
                <w:color w:val="auto"/>
                <w:sz w:val="22"/>
                <w:szCs w:val="22"/>
                <w:highlight w:val="none"/>
              </w:rPr>
            </w:pPr>
          </w:p>
        </w:tc>
        <w:tc>
          <w:tcPr>
            <w:tcW w:w="1891" w:type="dxa"/>
            <w:tcBorders>
              <w:top w:val="single" w:color="auto" w:sz="4" w:space="0"/>
              <w:left w:val="single" w:color="auto" w:sz="4" w:space="0"/>
              <w:right w:val="single" w:color="auto" w:sz="4" w:space="0"/>
            </w:tcBorders>
          </w:tcPr>
          <w:p w14:paraId="5A5A3C50">
            <w:pPr>
              <w:pStyle w:val="19"/>
              <w:spacing w:line="440" w:lineRule="atLeast"/>
              <w:jc w:val="center"/>
              <w:rPr>
                <w:rFonts w:hint="eastAsia" w:hAnsi="宋体" w:eastAsia="宋体"/>
                <w:b/>
                <w:color w:val="auto"/>
                <w:sz w:val="22"/>
                <w:szCs w:val="22"/>
                <w:highlight w:val="none"/>
              </w:rPr>
            </w:pPr>
          </w:p>
        </w:tc>
      </w:tr>
      <w:tr w14:paraId="4C8C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tcBorders>
              <w:top w:val="single" w:color="auto" w:sz="4" w:space="0"/>
              <w:left w:val="single" w:color="auto" w:sz="4" w:space="0"/>
              <w:right w:val="single" w:color="auto" w:sz="4" w:space="0"/>
            </w:tcBorders>
          </w:tcPr>
          <w:p w14:paraId="353DA9BE">
            <w:pPr>
              <w:pStyle w:val="19"/>
              <w:spacing w:line="440" w:lineRule="atLeast"/>
              <w:jc w:val="center"/>
              <w:rPr>
                <w:rFonts w:hint="eastAsia" w:hAnsi="宋体" w:eastAsia="宋体"/>
                <w:b/>
                <w:color w:val="auto"/>
                <w:sz w:val="22"/>
                <w:szCs w:val="22"/>
                <w:highlight w:val="none"/>
              </w:rPr>
            </w:pPr>
          </w:p>
        </w:tc>
        <w:tc>
          <w:tcPr>
            <w:tcW w:w="3885" w:type="dxa"/>
            <w:tcBorders>
              <w:top w:val="single" w:color="auto" w:sz="4" w:space="0"/>
              <w:left w:val="single" w:color="auto" w:sz="4" w:space="0"/>
              <w:right w:val="single" w:color="auto" w:sz="4" w:space="0"/>
            </w:tcBorders>
          </w:tcPr>
          <w:p w14:paraId="05095C44">
            <w:pPr>
              <w:pStyle w:val="19"/>
              <w:spacing w:line="440" w:lineRule="atLeast"/>
              <w:jc w:val="center"/>
              <w:rPr>
                <w:rFonts w:hint="eastAsia" w:hAnsi="宋体" w:eastAsia="宋体"/>
                <w:b/>
                <w:color w:val="auto"/>
                <w:sz w:val="22"/>
                <w:szCs w:val="22"/>
                <w:highlight w:val="none"/>
              </w:rPr>
            </w:pPr>
          </w:p>
        </w:tc>
        <w:tc>
          <w:tcPr>
            <w:tcW w:w="2145" w:type="dxa"/>
            <w:tcBorders>
              <w:top w:val="single" w:color="auto" w:sz="4" w:space="0"/>
              <w:left w:val="single" w:color="auto" w:sz="4" w:space="0"/>
              <w:right w:val="single" w:color="auto" w:sz="4" w:space="0"/>
            </w:tcBorders>
          </w:tcPr>
          <w:p w14:paraId="4CFFCE46">
            <w:pPr>
              <w:pStyle w:val="19"/>
              <w:spacing w:line="440" w:lineRule="atLeast"/>
              <w:jc w:val="center"/>
              <w:rPr>
                <w:rFonts w:hint="eastAsia" w:hAnsi="宋体" w:eastAsia="宋体"/>
                <w:b/>
                <w:color w:val="auto"/>
                <w:sz w:val="22"/>
                <w:szCs w:val="22"/>
                <w:highlight w:val="none"/>
              </w:rPr>
            </w:pPr>
          </w:p>
        </w:tc>
        <w:tc>
          <w:tcPr>
            <w:tcW w:w="1891" w:type="dxa"/>
            <w:tcBorders>
              <w:top w:val="single" w:color="auto" w:sz="4" w:space="0"/>
              <w:left w:val="single" w:color="auto" w:sz="4" w:space="0"/>
              <w:right w:val="single" w:color="auto" w:sz="4" w:space="0"/>
            </w:tcBorders>
          </w:tcPr>
          <w:p w14:paraId="7762D4F5">
            <w:pPr>
              <w:pStyle w:val="19"/>
              <w:spacing w:line="440" w:lineRule="atLeast"/>
              <w:jc w:val="center"/>
              <w:rPr>
                <w:rFonts w:hint="eastAsia" w:hAnsi="宋体" w:eastAsia="宋体"/>
                <w:b/>
                <w:color w:val="auto"/>
                <w:sz w:val="22"/>
                <w:szCs w:val="22"/>
                <w:highlight w:val="none"/>
              </w:rPr>
            </w:pPr>
          </w:p>
        </w:tc>
      </w:tr>
      <w:tr w14:paraId="2D54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tcBorders>
              <w:top w:val="single" w:color="auto" w:sz="4" w:space="0"/>
              <w:left w:val="single" w:color="auto" w:sz="4" w:space="0"/>
              <w:right w:val="single" w:color="auto" w:sz="4" w:space="0"/>
            </w:tcBorders>
          </w:tcPr>
          <w:p w14:paraId="22473702">
            <w:pPr>
              <w:pStyle w:val="19"/>
              <w:spacing w:line="440" w:lineRule="atLeast"/>
              <w:jc w:val="center"/>
              <w:rPr>
                <w:rFonts w:hint="eastAsia" w:hAnsi="宋体" w:eastAsia="宋体"/>
                <w:b/>
                <w:color w:val="auto"/>
                <w:sz w:val="22"/>
                <w:szCs w:val="22"/>
                <w:highlight w:val="none"/>
              </w:rPr>
            </w:pPr>
          </w:p>
        </w:tc>
        <w:tc>
          <w:tcPr>
            <w:tcW w:w="3885" w:type="dxa"/>
            <w:tcBorders>
              <w:top w:val="single" w:color="auto" w:sz="4" w:space="0"/>
              <w:left w:val="single" w:color="auto" w:sz="4" w:space="0"/>
              <w:right w:val="single" w:color="auto" w:sz="4" w:space="0"/>
            </w:tcBorders>
          </w:tcPr>
          <w:p w14:paraId="4E4CBDD2">
            <w:pPr>
              <w:pStyle w:val="19"/>
              <w:spacing w:line="440" w:lineRule="atLeast"/>
              <w:jc w:val="center"/>
              <w:rPr>
                <w:rFonts w:hint="eastAsia" w:hAnsi="宋体" w:eastAsia="宋体"/>
                <w:b/>
                <w:color w:val="auto"/>
                <w:sz w:val="22"/>
                <w:szCs w:val="22"/>
                <w:highlight w:val="none"/>
              </w:rPr>
            </w:pPr>
          </w:p>
        </w:tc>
        <w:tc>
          <w:tcPr>
            <w:tcW w:w="2145" w:type="dxa"/>
            <w:tcBorders>
              <w:top w:val="single" w:color="auto" w:sz="4" w:space="0"/>
              <w:left w:val="single" w:color="auto" w:sz="4" w:space="0"/>
              <w:right w:val="single" w:color="auto" w:sz="4" w:space="0"/>
            </w:tcBorders>
          </w:tcPr>
          <w:p w14:paraId="0433A041">
            <w:pPr>
              <w:pStyle w:val="19"/>
              <w:spacing w:line="440" w:lineRule="atLeast"/>
              <w:jc w:val="center"/>
              <w:rPr>
                <w:rFonts w:hint="eastAsia" w:hAnsi="宋体" w:eastAsia="宋体"/>
                <w:b/>
                <w:color w:val="auto"/>
                <w:sz w:val="22"/>
                <w:szCs w:val="22"/>
                <w:highlight w:val="none"/>
              </w:rPr>
            </w:pPr>
          </w:p>
        </w:tc>
        <w:tc>
          <w:tcPr>
            <w:tcW w:w="1891" w:type="dxa"/>
            <w:tcBorders>
              <w:top w:val="single" w:color="auto" w:sz="4" w:space="0"/>
              <w:left w:val="single" w:color="auto" w:sz="4" w:space="0"/>
              <w:right w:val="single" w:color="auto" w:sz="4" w:space="0"/>
            </w:tcBorders>
          </w:tcPr>
          <w:p w14:paraId="3A1AD1F1">
            <w:pPr>
              <w:pStyle w:val="19"/>
              <w:spacing w:line="440" w:lineRule="atLeast"/>
              <w:jc w:val="center"/>
              <w:rPr>
                <w:rFonts w:hint="eastAsia" w:hAnsi="宋体" w:eastAsia="宋体"/>
                <w:b/>
                <w:color w:val="auto"/>
                <w:sz w:val="22"/>
                <w:szCs w:val="22"/>
                <w:highlight w:val="none"/>
              </w:rPr>
            </w:pPr>
          </w:p>
        </w:tc>
      </w:tr>
      <w:tr w14:paraId="35ADC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tcBorders>
              <w:top w:val="single" w:color="auto" w:sz="4" w:space="0"/>
              <w:left w:val="single" w:color="auto" w:sz="4" w:space="0"/>
              <w:right w:val="single" w:color="auto" w:sz="4" w:space="0"/>
            </w:tcBorders>
          </w:tcPr>
          <w:p w14:paraId="5E56CB2C">
            <w:pPr>
              <w:pStyle w:val="19"/>
              <w:spacing w:line="440" w:lineRule="atLeast"/>
              <w:jc w:val="center"/>
              <w:rPr>
                <w:rFonts w:hint="eastAsia" w:hAnsi="宋体" w:eastAsia="宋体"/>
                <w:b/>
                <w:color w:val="auto"/>
                <w:sz w:val="22"/>
                <w:szCs w:val="22"/>
                <w:highlight w:val="none"/>
              </w:rPr>
            </w:pPr>
          </w:p>
        </w:tc>
        <w:tc>
          <w:tcPr>
            <w:tcW w:w="3885" w:type="dxa"/>
            <w:tcBorders>
              <w:top w:val="single" w:color="auto" w:sz="4" w:space="0"/>
              <w:left w:val="single" w:color="auto" w:sz="4" w:space="0"/>
              <w:right w:val="single" w:color="auto" w:sz="4" w:space="0"/>
            </w:tcBorders>
          </w:tcPr>
          <w:p w14:paraId="5517A9DD">
            <w:pPr>
              <w:pStyle w:val="19"/>
              <w:spacing w:line="440" w:lineRule="atLeast"/>
              <w:jc w:val="center"/>
              <w:rPr>
                <w:rFonts w:hint="eastAsia" w:hAnsi="宋体" w:eastAsia="宋体"/>
                <w:b/>
                <w:color w:val="auto"/>
                <w:sz w:val="22"/>
                <w:szCs w:val="22"/>
                <w:highlight w:val="none"/>
              </w:rPr>
            </w:pPr>
          </w:p>
        </w:tc>
        <w:tc>
          <w:tcPr>
            <w:tcW w:w="2145" w:type="dxa"/>
            <w:tcBorders>
              <w:top w:val="single" w:color="auto" w:sz="4" w:space="0"/>
              <w:left w:val="single" w:color="auto" w:sz="4" w:space="0"/>
              <w:right w:val="single" w:color="auto" w:sz="4" w:space="0"/>
            </w:tcBorders>
          </w:tcPr>
          <w:p w14:paraId="51971904">
            <w:pPr>
              <w:pStyle w:val="19"/>
              <w:spacing w:line="440" w:lineRule="atLeast"/>
              <w:jc w:val="center"/>
              <w:rPr>
                <w:rFonts w:hint="eastAsia" w:hAnsi="宋体" w:eastAsia="宋体"/>
                <w:b/>
                <w:color w:val="auto"/>
                <w:sz w:val="22"/>
                <w:szCs w:val="22"/>
                <w:highlight w:val="none"/>
              </w:rPr>
            </w:pPr>
          </w:p>
        </w:tc>
        <w:tc>
          <w:tcPr>
            <w:tcW w:w="1891" w:type="dxa"/>
            <w:tcBorders>
              <w:top w:val="single" w:color="auto" w:sz="4" w:space="0"/>
              <w:left w:val="single" w:color="auto" w:sz="4" w:space="0"/>
              <w:right w:val="single" w:color="auto" w:sz="4" w:space="0"/>
            </w:tcBorders>
          </w:tcPr>
          <w:p w14:paraId="20BFB7AF">
            <w:pPr>
              <w:pStyle w:val="19"/>
              <w:spacing w:line="440" w:lineRule="atLeast"/>
              <w:jc w:val="center"/>
              <w:rPr>
                <w:rFonts w:hint="eastAsia" w:hAnsi="宋体" w:eastAsia="宋体"/>
                <w:b/>
                <w:color w:val="auto"/>
                <w:sz w:val="22"/>
                <w:szCs w:val="22"/>
                <w:highlight w:val="none"/>
              </w:rPr>
            </w:pPr>
          </w:p>
        </w:tc>
      </w:tr>
      <w:tr w14:paraId="0A23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tcBorders>
              <w:top w:val="single" w:color="auto" w:sz="4" w:space="0"/>
              <w:left w:val="single" w:color="auto" w:sz="4" w:space="0"/>
              <w:right w:val="single" w:color="auto" w:sz="4" w:space="0"/>
            </w:tcBorders>
          </w:tcPr>
          <w:p w14:paraId="4BAF5AF0">
            <w:pPr>
              <w:pStyle w:val="19"/>
              <w:spacing w:line="440" w:lineRule="atLeast"/>
              <w:jc w:val="center"/>
              <w:rPr>
                <w:rFonts w:hint="eastAsia" w:hAnsi="宋体" w:eastAsia="宋体"/>
                <w:b/>
                <w:color w:val="auto"/>
                <w:sz w:val="22"/>
                <w:szCs w:val="22"/>
                <w:highlight w:val="none"/>
              </w:rPr>
            </w:pPr>
          </w:p>
        </w:tc>
        <w:tc>
          <w:tcPr>
            <w:tcW w:w="3885" w:type="dxa"/>
            <w:tcBorders>
              <w:top w:val="single" w:color="auto" w:sz="4" w:space="0"/>
              <w:left w:val="single" w:color="auto" w:sz="4" w:space="0"/>
              <w:right w:val="single" w:color="auto" w:sz="4" w:space="0"/>
            </w:tcBorders>
          </w:tcPr>
          <w:p w14:paraId="1A074E29">
            <w:pPr>
              <w:pStyle w:val="19"/>
              <w:spacing w:line="440" w:lineRule="atLeast"/>
              <w:jc w:val="center"/>
              <w:rPr>
                <w:rFonts w:hint="eastAsia" w:hAnsi="宋体" w:eastAsia="宋体"/>
                <w:b/>
                <w:color w:val="auto"/>
                <w:sz w:val="22"/>
                <w:szCs w:val="22"/>
                <w:highlight w:val="none"/>
              </w:rPr>
            </w:pPr>
          </w:p>
        </w:tc>
        <w:tc>
          <w:tcPr>
            <w:tcW w:w="2145" w:type="dxa"/>
            <w:tcBorders>
              <w:top w:val="single" w:color="auto" w:sz="4" w:space="0"/>
              <w:left w:val="single" w:color="auto" w:sz="4" w:space="0"/>
              <w:right w:val="single" w:color="auto" w:sz="4" w:space="0"/>
            </w:tcBorders>
          </w:tcPr>
          <w:p w14:paraId="31103B97">
            <w:pPr>
              <w:pStyle w:val="19"/>
              <w:spacing w:line="440" w:lineRule="atLeast"/>
              <w:jc w:val="center"/>
              <w:rPr>
                <w:rFonts w:hint="eastAsia" w:hAnsi="宋体" w:eastAsia="宋体"/>
                <w:b/>
                <w:color w:val="auto"/>
                <w:sz w:val="22"/>
                <w:szCs w:val="22"/>
                <w:highlight w:val="none"/>
              </w:rPr>
            </w:pPr>
          </w:p>
        </w:tc>
        <w:tc>
          <w:tcPr>
            <w:tcW w:w="1891" w:type="dxa"/>
            <w:tcBorders>
              <w:top w:val="single" w:color="auto" w:sz="4" w:space="0"/>
              <w:left w:val="single" w:color="auto" w:sz="4" w:space="0"/>
              <w:right w:val="single" w:color="auto" w:sz="4" w:space="0"/>
            </w:tcBorders>
          </w:tcPr>
          <w:p w14:paraId="1B877CE4">
            <w:pPr>
              <w:pStyle w:val="19"/>
              <w:spacing w:line="440" w:lineRule="atLeast"/>
              <w:jc w:val="center"/>
              <w:rPr>
                <w:rFonts w:hint="eastAsia" w:hAnsi="宋体" w:eastAsia="宋体"/>
                <w:b/>
                <w:color w:val="auto"/>
                <w:sz w:val="22"/>
                <w:szCs w:val="22"/>
                <w:highlight w:val="none"/>
              </w:rPr>
            </w:pPr>
          </w:p>
        </w:tc>
      </w:tr>
    </w:tbl>
    <w:p w14:paraId="314E7067">
      <w:pPr>
        <w:pStyle w:val="19"/>
        <w:spacing w:line="440" w:lineRule="atLeast"/>
        <w:ind w:firstLine="446" w:firstLineChars="200"/>
        <w:rPr>
          <w:rFonts w:hint="eastAsia" w:hAnsi="宋体"/>
          <w:b/>
          <w:color w:val="auto"/>
          <w:sz w:val="24"/>
          <w:highlight w:val="none"/>
        </w:rPr>
      </w:pPr>
      <w:r>
        <w:rPr>
          <w:rFonts w:hint="eastAsia" w:hAnsi="宋体" w:cs="宋体"/>
          <w:b/>
          <w:bCs/>
          <w:color w:val="auto"/>
          <w:sz w:val="22"/>
          <w:szCs w:val="22"/>
          <w:highlight w:val="none"/>
          <w:u w:val="single"/>
        </w:rPr>
        <w:t>备</w:t>
      </w:r>
      <w:r>
        <w:rPr>
          <w:rFonts w:hint="eastAsia" w:hAnsi="宋体"/>
          <w:b/>
          <w:bCs/>
          <w:color w:val="auto"/>
          <w:sz w:val="22"/>
          <w:szCs w:val="22"/>
          <w:highlight w:val="none"/>
          <w:u w:val="single"/>
        </w:rPr>
        <w:t>注：本表为质保期满后设备维修、保养的报价表。由投标供应商填写，费用不包括在投标总价中，但作为评标的重要依据。</w:t>
      </w:r>
    </w:p>
    <w:p w14:paraId="24B29642">
      <w:pPr>
        <w:pStyle w:val="19"/>
        <w:spacing w:line="460" w:lineRule="atLeast"/>
        <w:ind w:firstLine="780" w:firstLineChars="350"/>
        <w:rPr>
          <w:rFonts w:hint="eastAsia" w:hAnsi="宋体"/>
          <w:color w:val="auto"/>
          <w:sz w:val="22"/>
          <w:szCs w:val="22"/>
          <w:highlight w:val="none"/>
        </w:rPr>
      </w:pPr>
    </w:p>
    <w:p w14:paraId="0AE77B15">
      <w:pPr>
        <w:pStyle w:val="19"/>
        <w:spacing w:line="460" w:lineRule="atLeast"/>
        <w:ind w:firstLine="780" w:firstLineChars="350"/>
        <w:rPr>
          <w:rFonts w:hint="eastAsia" w:hAnsi="宋体"/>
          <w:color w:val="auto"/>
          <w:sz w:val="22"/>
          <w:szCs w:val="22"/>
          <w:highlight w:val="none"/>
        </w:rPr>
      </w:pPr>
      <w:r>
        <w:rPr>
          <w:rFonts w:hint="eastAsia" w:hAnsi="宋体"/>
          <w:color w:val="auto"/>
          <w:sz w:val="22"/>
          <w:szCs w:val="22"/>
          <w:highlight w:val="none"/>
        </w:rPr>
        <w:t>投标供应商（盖章）：</w:t>
      </w:r>
    </w:p>
    <w:p w14:paraId="1D59AEC2">
      <w:pPr>
        <w:pStyle w:val="19"/>
        <w:spacing w:line="460" w:lineRule="atLeast"/>
        <w:ind w:firstLine="780" w:firstLineChars="350"/>
        <w:rPr>
          <w:rFonts w:hint="eastAsia" w:hAnsi="宋体"/>
          <w:color w:val="auto"/>
          <w:sz w:val="22"/>
          <w:szCs w:val="22"/>
          <w:highlight w:val="none"/>
        </w:rPr>
      </w:pPr>
      <w:r>
        <w:rPr>
          <w:rFonts w:hint="eastAsia" w:hAnsi="宋体"/>
          <w:color w:val="auto"/>
          <w:sz w:val="22"/>
          <w:szCs w:val="22"/>
          <w:highlight w:val="none"/>
        </w:rPr>
        <w:t>法定代表人（签字或盖章）授权代表（签字或盖章）：</w:t>
      </w:r>
    </w:p>
    <w:p w14:paraId="40CA9CCE">
      <w:pPr>
        <w:pStyle w:val="19"/>
        <w:spacing w:line="460" w:lineRule="atLeast"/>
        <w:ind w:firstLine="780" w:firstLineChars="350"/>
        <w:rPr>
          <w:rFonts w:hint="eastAsia" w:hAnsi="宋体"/>
          <w:color w:val="auto"/>
          <w:sz w:val="22"/>
          <w:szCs w:val="22"/>
          <w:highlight w:val="none"/>
        </w:rPr>
      </w:pPr>
      <w:r>
        <w:rPr>
          <w:rFonts w:hint="eastAsia" w:hAnsi="宋体"/>
          <w:color w:val="auto"/>
          <w:sz w:val="22"/>
          <w:szCs w:val="22"/>
          <w:highlight w:val="none"/>
        </w:rPr>
        <w:t>日期：</w:t>
      </w:r>
    </w:p>
    <w:p w14:paraId="737650CC">
      <w:pPr>
        <w:pStyle w:val="19"/>
        <w:adjustRightInd w:val="0"/>
        <w:snapToGrid w:val="0"/>
        <w:spacing w:line="340" w:lineRule="atLeast"/>
        <w:rPr>
          <w:rFonts w:hint="eastAsia" w:hAnsi="宋体"/>
          <w:b/>
          <w:color w:val="auto"/>
          <w:sz w:val="32"/>
          <w:szCs w:val="32"/>
          <w:highlight w:val="none"/>
        </w:rPr>
      </w:pPr>
    </w:p>
    <w:p w14:paraId="2397458A">
      <w:pPr>
        <w:tabs>
          <w:tab w:val="left" w:pos="1069"/>
          <w:tab w:val="left" w:pos="2352"/>
        </w:tabs>
        <w:snapToGrid w:val="0"/>
        <w:spacing w:line="440" w:lineRule="exact"/>
        <w:rPr>
          <w:rFonts w:ascii="宋体" w:hAnsi="宋体" w:cs="宋体"/>
          <w:b/>
          <w:bCs/>
          <w:color w:val="auto"/>
          <w:sz w:val="32"/>
          <w:szCs w:val="32"/>
          <w:highlight w:val="none"/>
        </w:rPr>
      </w:pPr>
      <w:r>
        <w:rPr>
          <w:rFonts w:hint="eastAsia" w:ascii="宋体" w:hAnsi="宋体"/>
          <w:b/>
          <w:bCs/>
          <w:color w:val="auto"/>
          <w:sz w:val="32"/>
          <w:szCs w:val="32"/>
          <w:highlight w:val="none"/>
        </w:rPr>
        <w:br w:type="page"/>
      </w:r>
      <w:r>
        <w:rPr>
          <w:rFonts w:hint="eastAsia" w:ascii="宋体" w:hAnsi="宋体" w:cs="宋体"/>
          <w:b/>
          <w:bCs/>
          <w:color w:val="auto"/>
          <w:sz w:val="22"/>
          <w:highlight w:val="none"/>
        </w:rPr>
        <w:t>二</w:t>
      </w:r>
      <w:r>
        <w:rPr>
          <w:rFonts w:hint="eastAsia" w:ascii="宋体" w:hAnsi="宋体" w:cs="宋体"/>
          <w:b/>
          <w:bCs/>
          <w:color w:val="auto"/>
          <w:sz w:val="22"/>
          <w:highlight w:val="none"/>
          <w:lang w:val="zh-CN"/>
        </w:rPr>
        <w:t>、</w:t>
      </w:r>
      <w:r>
        <w:rPr>
          <w:rFonts w:hint="eastAsia" w:ascii="宋体" w:hAnsi="宋体" w:cs="宋体"/>
          <w:b/>
          <w:bCs/>
          <w:color w:val="auto"/>
          <w:sz w:val="22"/>
          <w:highlight w:val="none"/>
        </w:rPr>
        <w:t>资格</w:t>
      </w:r>
      <w:r>
        <w:rPr>
          <w:rFonts w:hint="eastAsia" w:ascii="宋体" w:hAnsi="宋体" w:cs="宋体"/>
          <w:b/>
          <w:bCs/>
          <w:color w:val="auto"/>
          <w:sz w:val="22"/>
          <w:highlight w:val="none"/>
          <w:lang w:val="zh-CN"/>
        </w:rPr>
        <w:t>部分投标文件格式</w:t>
      </w:r>
    </w:p>
    <w:p w14:paraId="31AB7598">
      <w:pPr>
        <w:pStyle w:val="14"/>
        <w:tabs>
          <w:tab w:val="left" w:pos="1069"/>
          <w:tab w:val="left" w:pos="2352"/>
        </w:tabs>
        <w:rPr>
          <w:rFonts w:ascii="宋体" w:hAnsi="宋体" w:cs="宋体"/>
          <w:color w:val="auto"/>
          <w:sz w:val="22"/>
          <w:szCs w:val="22"/>
          <w:highlight w:val="none"/>
        </w:rPr>
      </w:pPr>
      <w:r>
        <w:rPr>
          <w:rFonts w:hint="eastAsia" w:ascii="宋体" w:hAnsi="宋体" w:cs="宋体"/>
          <w:b/>
          <w:bCs/>
          <w:color w:val="auto"/>
          <w:sz w:val="22"/>
          <w:highlight w:val="none"/>
        </w:rPr>
        <w:t>资格</w:t>
      </w:r>
      <w:r>
        <w:rPr>
          <w:rFonts w:hint="eastAsia" w:ascii="宋体" w:hAnsi="宋体" w:cs="宋体"/>
          <w:b/>
          <w:bCs/>
          <w:color w:val="auto"/>
          <w:sz w:val="22"/>
          <w:highlight w:val="none"/>
          <w:lang w:val="zh-CN"/>
        </w:rPr>
        <w:t>部分投标文件</w:t>
      </w:r>
      <w:r>
        <w:rPr>
          <w:rFonts w:hint="eastAsia" w:ascii="宋体" w:hAnsi="宋体" w:cs="宋体"/>
          <w:color w:val="auto"/>
          <w:sz w:val="22"/>
          <w:szCs w:val="22"/>
          <w:highlight w:val="none"/>
        </w:rPr>
        <w:t>封面参考：</w:t>
      </w:r>
    </w:p>
    <w:p w14:paraId="774A123D">
      <w:pPr>
        <w:tabs>
          <w:tab w:val="left" w:pos="1069"/>
          <w:tab w:val="left" w:pos="2352"/>
        </w:tabs>
        <w:spacing w:line="480" w:lineRule="auto"/>
        <w:jc w:val="center"/>
        <w:rPr>
          <w:rFonts w:ascii="宋体" w:hAnsi="宋体" w:cs="宋体"/>
          <w:b/>
          <w:color w:val="auto"/>
          <w:sz w:val="64"/>
          <w:szCs w:val="64"/>
          <w:highlight w:val="none"/>
        </w:rPr>
      </w:pPr>
    </w:p>
    <w:p w14:paraId="78485D46">
      <w:pPr>
        <w:tabs>
          <w:tab w:val="left" w:pos="1069"/>
          <w:tab w:val="left" w:pos="2352"/>
        </w:tabs>
        <w:spacing w:line="480" w:lineRule="auto"/>
        <w:jc w:val="center"/>
        <w:rPr>
          <w:rFonts w:hint="eastAsia" w:ascii="宋体" w:hAnsi="宋体" w:eastAsia="宋体" w:cs="宋体"/>
          <w:b/>
          <w:color w:val="auto"/>
          <w:sz w:val="60"/>
          <w:szCs w:val="60"/>
          <w:highlight w:val="none"/>
          <w:lang w:eastAsia="zh-CN"/>
        </w:rPr>
      </w:pPr>
      <w:r>
        <w:rPr>
          <w:rFonts w:hint="eastAsia" w:ascii="宋体" w:hAnsi="宋体" w:cs="宋体"/>
          <w:b/>
          <w:color w:val="auto"/>
          <w:sz w:val="60"/>
          <w:szCs w:val="60"/>
          <w:highlight w:val="none"/>
          <w:lang w:eastAsia="zh-CN"/>
        </w:rPr>
        <w:t>龟湖镇水厂备用水源工程设备采购</w:t>
      </w:r>
    </w:p>
    <w:p w14:paraId="7A3404AE">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7BA87234">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（资 格 部 分）</w:t>
      </w:r>
    </w:p>
    <w:p w14:paraId="3DDDD7F9">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p w14:paraId="77880630">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tbl>
      <w:tblPr>
        <w:tblStyle w:val="38"/>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03086FA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val="0"/>
            <w:vAlign w:val="top"/>
          </w:tcPr>
          <w:p w14:paraId="561EDE22">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p>
        </w:tc>
      </w:tr>
      <w:tr w14:paraId="2EE8A04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val="0"/>
            <w:vAlign w:val="top"/>
          </w:tcPr>
          <w:p w14:paraId="16C7F54D">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p>
        </w:tc>
      </w:tr>
      <w:tr w14:paraId="19C262D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val="0"/>
            <w:vAlign w:val="top"/>
          </w:tcPr>
          <w:p w14:paraId="51784AE4">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p>
        </w:tc>
      </w:tr>
      <w:tr w14:paraId="4FA255D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val="0"/>
            <w:vAlign w:val="top"/>
          </w:tcPr>
          <w:p w14:paraId="69488DFD">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1672177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val="0"/>
            <w:vAlign w:val="top"/>
          </w:tcPr>
          <w:p w14:paraId="357E0EE8">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3446691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val="0"/>
            <w:vAlign w:val="top"/>
          </w:tcPr>
          <w:p w14:paraId="6F251FF6">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1293DB7D">
      <w:pPr>
        <w:rPr>
          <w:rFonts w:hint="eastAsia" w:ascii="宋体" w:hAnsi="宋体"/>
          <w:b/>
          <w:color w:val="auto"/>
          <w:sz w:val="32"/>
          <w:szCs w:val="32"/>
          <w:highlight w:val="none"/>
        </w:rPr>
      </w:pPr>
    </w:p>
    <w:p w14:paraId="35B9354D">
      <w:pPr>
        <w:rPr>
          <w:rFonts w:hint="eastAsia" w:ascii="宋体" w:hAnsi="宋体"/>
          <w:b/>
          <w:color w:val="auto"/>
          <w:sz w:val="32"/>
          <w:szCs w:val="32"/>
          <w:highlight w:val="none"/>
        </w:rPr>
      </w:pPr>
    </w:p>
    <w:p w14:paraId="040D2E52">
      <w:pPr>
        <w:rPr>
          <w:rFonts w:hint="eastAsia" w:ascii="宋体" w:hAnsi="宋体"/>
          <w:b/>
          <w:color w:val="auto"/>
          <w:sz w:val="32"/>
          <w:szCs w:val="32"/>
          <w:highlight w:val="none"/>
        </w:rPr>
      </w:pPr>
    </w:p>
    <w:p w14:paraId="45D401AD">
      <w:pPr>
        <w:rPr>
          <w:rFonts w:hint="eastAsia" w:ascii="宋体" w:hAnsi="宋体"/>
          <w:b/>
          <w:color w:val="auto"/>
          <w:sz w:val="32"/>
          <w:szCs w:val="32"/>
          <w:highlight w:val="none"/>
        </w:rPr>
      </w:pPr>
    </w:p>
    <w:p w14:paraId="029A5E1A">
      <w:pPr>
        <w:rPr>
          <w:rFonts w:hint="eastAsia" w:ascii="宋体" w:hAnsi="宋体"/>
          <w:b/>
          <w:color w:val="auto"/>
          <w:sz w:val="32"/>
          <w:szCs w:val="32"/>
          <w:highlight w:val="none"/>
        </w:rPr>
      </w:pPr>
    </w:p>
    <w:p w14:paraId="2FAE81B5">
      <w:pPr>
        <w:tabs>
          <w:tab w:val="left" w:pos="1069"/>
          <w:tab w:val="left" w:pos="2352"/>
        </w:tabs>
        <w:autoSpaceDE w:val="0"/>
        <w:autoSpaceDN w:val="0"/>
        <w:adjustRightInd w:val="0"/>
        <w:spacing w:line="460" w:lineRule="atLeas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lang w:val="en-US" w:eastAsia="zh-CN"/>
        </w:rPr>
        <w:t>五</w:t>
      </w:r>
    </w:p>
    <w:p w14:paraId="42B22257">
      <w:pPr>
        <w:tabs>
          <w:tab w:val="left" w:pos="1069"/>
          <w:tab w:val="left" w:pos="2352"/>
        </w:tabs>
        <w:autoSpaceDE w:val="0"/>
        <w:autoSpaceDN w:val="0"/>
        <w:adjustRightInd w:val="0"/>
        <w:spacing w:line="460" w:lineRule="atLeast"/>
        <w:jc w:val="center"/>
        <w:rPr>
          <w:rFonts w:ascii="宋体" w:hAnsi="宋体" w:cs="宋体"/>
          <w:color w:val="auto"/>
          <w:sz w:val="30"/>
          <w:highlight w:val="none"/>
          <w:lang w:val="zh-CN"/>
        </w:rPr>
      </w:pPr>
      <w:r>
        <w:rPr>
          <w:rFonts w:hint="eastAsia" w:ascii="宋体" w:hAnsi="宋体" w:cs="宋体"/>
          <w:b/>
          <w:bCs/>
          <w:color w:val="auto"/>
          <w:sz w:val="30"/>
          <w:highlight w:val="none"/>
          <w:lang w:val="zh-CN"/>
        </w:rPr>
        <w:t>具有良好的商业信誉和健全的财务会计制度</w:t>
      </w:r>
      <w:r>
        <w:rPr>
          <w:rFonts w:hint="eastAsia" w:ascii="宋体" w:hAnsi="宋体" w:cs="宋体"/>
          <w:b/>
          <w:bCs/>
          <w:color w:val="auto"/>
          <w:sz w:val="30"/>
          <w:highlight w:val="none"/>
        </w:rPr>
        <w:t>的</w:t>
      </w:r>
      <w:r>
        <w:rPr>
          <w:rFonts w:hint="eastAsia" w:ascii="宋体" w:hAnsi="宋体" w:cs="宋体"/>
          <w:b/>
          <w:bCs/>
          <w:color w:val="auto"/>
          <w:sz w:val="30"/>
          <w:highlight w:val="none"/>
          <w:lang w:val="zh-CN"/>
        </w:rPr>
        <w:t>承诺函</w:t>
      </w:r>
    </w:p>
    <w:p w14:paraId="6265A0D7">
      <w:pPr>
        <w:tabs>
          <w:tab w:val="left" w:pos="1069"/>
          <w:tab w:val="left" w:pos="2352"/>
        </w:tabs>
        <w:spacing w:line="460" w:lineRule="exact"/>
        <w:rPr>
          <w:rFonts w:ascii="宋体" w:hAnsi="宋体" w:cs="宋体"/>
          <w:color w:val="auto"/>
          <w:sz w:val="22"/>
          <w:highlight w:val="none"/>
          <w:u w:val="single"/>
        </w:rPr>
      </w:pPr>
    </w:p>
    <w:p w14:paraId="76FA80D2">
      <w:pPr>
        <w:tabs>
          <w:tab w:val="left" w:pos="1069"/>
          <w:tab w:val="left" w:pos="2352"/>
        </w:tabs>
        <w:spacing w:line="460" w:lineRule="exact"/>
        <w:rPr>
          <w:rFonts w:ascii="宋体" w:hAnsi="宋体" w:cs="宋体"/>
          <w:color w:val="auto"/>
          <w:sz w:val="22"/>
          <w:highlight w:val="none"/>
          <w:u w:val="single"/>
        </w:rPr>
      </w:pPr>
      <w:r>
        <w:rPr>
          <w:rFonts w:hint="eastAsia" w:ascii="宋体" w:hAnsi="宋体" w:cs="宋体"/>
          <w:color w:val="auto"/>
          <w:sz w:val="22"/>
          <w:highlight w:val="none"/>
          <w:u w:val="single"/>
          <w:lang w:eastAsia="zh-CN"/>
        </w:rPr>
        <w:t>温州公用事业发展集团泰顺水务有限公司</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eastAsia="zh-CN"/>
        </w:rPr>
        <w:t>浙江三凌建设项目管理有限公司</w:t>
      </w:r>
      <w:r>
        <w:rPr>
          <w:rFonts w:hint="eastAsia" w:ascii="宋体" w:hAnsi="宋体" w:cs="宋体"/>
          <w:color w:val="auto"/>
          <w:sz w:val="22"/>
          <w:highlight w:val="none"/>
          <w:u w:val="single"/>
        </w:rPr>
        <w:t>：</w:t>
      </w:r>
    </w:p>
    <w:p w14:paraId="551F5DD7">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p>
    <w:p w14:paraId="7BABA442">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r>
        <w:rPr>
          <w:rFonts w:hint="eastAsia" w:ascii="宋体" w:hAnsi="宋体" w:cs="宋体"/>
          <w:color w:val="auto"/>
          <w:sz w:val="22"/>
          <w:highlight w:val="none"/>
        </w:rPr>
        <w:t>我方</w:t>
      </w:r>
      <w:r>
        <w:rPr>
          <w:rFonts w:hint="eastAsia" w:ascii="宋体" w:hAnsi="宋体" w:cs="宋体"/>
          <w:color w:val="auto"/>
          <w:sz w:val="22"/>
          <w:highlight w:val="none"/>
          <w:u w:val="single"/>
        </w:rPr>
        <w:t xml:space="preserve"> （供应商）  </w:t>
      </w:r>
      <w:r>
        <w:rPr>
          <w:rFonts w:hint="eastAsia" w:ascii="宋体" w:hAnsi="宋体" w:cs="宋体"/>
          <w:color w:val="auto"/>
          <w:sz w:val="22"/>
          <w:highlight w:val="none"/>
        </w:rPr>
        <w:t>承诺良好的商业信誉和健全的财务会计制度。如有虚假，采购人可取消我方任何资格（投标/中标/签订合同），我方对此无任何异议。</w:t>
      </w:r>
    </w:p>
    <w:p w14:paraId="1BB582F0">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r>
        <w:rPr>
          <w:rFonts w:hint="eastAsia" w:ascii="宋体" w:hAnsi="宋体" w:cs="宋体"/>
          <w:color w:val="auto"/>
          <w:sz w:val="22"/>
          <w:highlight w:val="none"/>
        </w:rPr>
        <w:t>特此承诺！</w:t>
      </w:r>
    </w:p>
    <w:p w14:paraId="43D7FEF5">
      <w:pPr>
        <w:pStyle w:val="19"/>
        <w:tabs>
          <w:tab w:val="left" w:pos="1069"/>
          <w:tab w:val="left" w:pos="2352"/>
        </w:tabs>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3549F6AA">
      <w:pPr>
        <w:pStyle w:val="19"/>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64EC8F1D">
      <w:pPr>
        <w:pStyle w:val="19"/>
        <w:tabs>
          <w:tab w:val="left" w:pos="1069"/>
          <w:tab w:val="left" w:pos="2352"/>
        </w:tabs>
        <w:spacing w:line="440" w:lineRule="atLeast"/>
        <w:rPr>
          <w:rFonts w:hint="eastAsia" w:hAnsi="宋体" w:cs="宋体"/>
          <w:color w:val="auto"/>
          <w:sz w:val="22"/>
          <w:highlight w:val="none"/>
        </w:rPr>
        <w:sectPr>
          <w:pgSz w:w="11906" w:h="16838"/>
          <w:pgMar w:top="1440" w:right="1247" w:bottom="1440" w:left="1247" w:header="851" w:footer="992" w:gutter="0"/>
          <w:pgNumType w:fmt="decimal"/>
          <w:cols w:space="720" w:num="1"/>
          <w:titlePg/>
          <w:docGrid w:type="linesAndChars" w:linePitch="317" w:charSpace="800"/>
        </w:sectPr>
      </w:pPr>
      <w:r>
        <w:rPr>
          <w:rFonts w:hint="eastAsia" w:hAnsi="宋体" w:cs="宋体"/>
          <w:color w:val="auto"/>
          <w:sz w:val="22"/>
          <w:highlight w:val="none"/>
        </w:rPr>
        <w:t>日期：</w:t>
      </w:r>
    </w:p>
    <w:p w14:paraId="34081F92">
      <w:pPr>
        <w:pStyle w:val="19"/>
        <w:tabs>
          <w:tab w:val="left" w:pos="1069"/>
          <w:tab w:val="left" w:pos="2352"/>
        </w:tabs>
        <w:spacing w:line="440" w:lineRule="atLeast"/>
        <w:rPr>
          <w:rFonts w:hint="eastAsia" w:hAnsi="宋体" w:eastAsia="宋体" w:cs="宋体"/>
          <w:color w:val="auto"/>
          <w:sz w:val="30"/>
          <w:highlight w:val="none"/>
          <w:lang w:val="zh-CN" w:eastAsia="zh-CN"/>
        </w:rPr>
      </w:pPr>
      <w:r>
        <w:rPr>
          <w:rFonts w:hint="eastAsia" w:hAnsi="宋体" w:cs="宋体"/>
          <w:b/>
          <w:bCs/>
          <w:color w:val="auto"/>
          <w:sz w:val="30"/>
          <w:highlight w:val="none"/>
          <w:lang w:val="zh-CN"/>
        </w:rPr>
        <w:t>附件</w:t>
      </w:r>
      <w:r>
        <w:rPr>
          <w:rFonts w:hint="eastAsia" w:hAnsi="宋体" w:cs="宋体"/>
          <w:b/>
          <w:bCs/>
          <w:color w:val="auto"/>
          <w:sz w:val="30"/>
          <w:highlight w:val="none"/>
          <w:lang w:val="en-US" w:eastAsia="zh-CN"/>
        </w:rPr>
        <w:t>六</w:t>
      </w:r>
    </w:p>
    <w:p w14:paraId="05935F16">
      <w:pPr>
        <w:tabs>
          <w:tab w:val="left" w:pos="1069"/>
          <w:tab w:val="left" w:pos="2352"/>
        </w:tabs>
        <w:autoSpaceDE w:val="0"/>
        <w:autoSpaceDN w:val="0"/>
        <w:adjustRightInd w:val="0"/>
        <w:spacing w:line="460" w:lineRule="atLeast"/>
        <w:jc w:val="center"/>
        <w:rPr>
          <w:rFonts w:ascii="宋体" w:hAnsi="宋体" w:cs="宋体"/>
          <w:color w:val="auto"/>
          <w:sz w:val="36"/>
          <w:highlight w:val="none"/>
          <w:lang w:val="zh-CN"/>
        </w:rPr>
      </w:pPr>
      <w:r>
        <w:rPr>
          <w:rFonts w:hint="eastAsia" w:ascii="宋体" w:hAnsi="宋体" w:cs="宋体"/>
          <w:b/>
          <w:bCs/>
          <w:color w:val="auto"/>
          <w:sz w:val="30"/>
          <w:highlight w:val="none"/>
          <w:lang w:val="zh-CN"/>
        </w:rPr>
        <w:t>具有履行合同所必需的设备和专业技术能力的承诺函</w:t>
      </w:r>
    </w:p>
    <w:p w14:paraId="0DBE928D">
      <w:pPr>
        <w:tabs>
          <w:tab w:val="left" w:pos="1069"/>
          <w:tab w:val="left" w:pos="2352"/>
        </w:tabs>
        <w:spacing w:line="460" w:lineRule="exact"/>
        <w:rPr>
          <w:rFonts w:ascii="宋体" w:hAnsi="宋体" w:cs="宋体"/>
          <w:color w:val="auto"/>
          <w:sz w:val="22"/>
          <w:highlight w:val="none"/>
          <w:u w:val="single"/>
        </w:rPr>
      </w:pPr>
      <w:r>
        <w:rPr>
          <w:rFonts w:hint="eastAsia" w:ascii="宋体" w:hAnsi="宋体" w:cs="宋体"/>
          <w:color w:val="auto"/>
          <w:sz w:val="22"/>
          <w:highlight w:val="none"/>
          <w:u w:val="single"/>
          <w:lang w:eastAsia="zh-CN"/>
        </w:rPr>
        <w:t>温州公用事业发展集团泰顺水务有限公司</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eastAsia="zh-CN"/>
        </w:rPr>
        <w:t>浙江三凌建设项目管理有限公司</w:t>
      </w:r>
      <w:r>
        <w:rPr>
          <w:rFonts w:hint="eastAsia" w:ascii="宋体" w:hAnsi="宋体" w:cs="宋体"/>
          <w:color w:val="auto"/>
          <w:sz w:val="22"/>
          <w:highlight w:val="none"/>
          <w:u w:val="single"/>
        </w:rPr>
        <w:t>：</w:t>
      </w:r>
    </w:p>
    <w:p w14:paraId="7520302C">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p>
    <w:p w14:paraId="41C2FA90">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r>
        <w:rPr>
          <w:rFonts w:hint="eastAsia" w:ascii="宋体" w:hAnsi="宋体" w:cs="宋体"/>
          <w:color w:val="auto"/>
          <w:sz w:val="22"/>
          <w:highlight w:val="none"/>
        </w:rPr>
        <w:t>我方</w:t>
      </w:r>
      <w:r>
        <w:rPr>
          <w:rFonts w:hint="eastAsia" w:ascii="宋体" w:hAnsi="宋体" w:cs="宋体"/>
          <w:color w:val="auto"/>
          <w:sz w:val="22"/>
          <w:highlight w:val="none"/>
          <w:u w:val="single"/>
        </w:rPr>
        <w:t xml:space="preserve"> （供应商）  </w:t>
      </w:r>
      <w:r>
        <w:rPr>
          <w:rFonts w:hint="eastAsia" w:ascii="宋体" w:hAnsi="宋体" w:cs="宋体"/>
          <w:color w:val="auto"/>
          <w:sz w:val="22"/>
          <w:highlight w:val="none"/>
        </w:rPr>
        <w:t>承诺具有履行合同所必需的设备和专业技术能力。如有虚假，采购人可取消我方任何资格（投标/中标/签订合同），我方对此无任何异议。</w:t>
      </w:r>
    </w:p>
    <w:p w14:paraId="628C9C58">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r>
        <w:rPr>
          <w:rFonts w:hint="eastAsia" w:ascii="宋体" w:hAnsi="宋体" w:cs="宋体"/>
          <w:color w:val="auto"/>
          <w:sz w:val="22"/>
          <w:highlight w:val="none"/>
        </w:rPr>
        <w:t>特此承诺！</w:t>
      </w:r>
    </w:p>
    <w:p w14:paraId="68657044">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p>
    <w:p w14:paraId="30B4CA74">
      <w:pPr>
        <w:pStyle w:val="19"/>
        <w:tabs>
          <w:tab w:val="left" w:pos="1069"/>
          <w:tab w:val="left" w:pos="2352"/>
        </w:tabs>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5D7EBC99">
      <w:pPr>
        <w:pStyle w:val="19"/>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4BA542DE">
      <w:pPr>
        <w:pStyle w:val="19"/>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5536BD8F">
      <w:pPr>
        <w:tabs>
          <w:tab w:val="left" w:pos="1069"/>
          <w:tab w:val="left" w:pos="2352"/>
        </w:tabs>
        <w:autoSpaceDE w:val="0"/>
        <w:autoSpaceDN w:val="0"/>
        <w:adjustRightInd w:val="0"/>
        <w:spacing w:line="460" w:lineRule="atLeast"/>
        <w:rPr>
          <w:rFonts w:hint="eastAsia" w:ascii="宋体" w:hAnsi="宋体" w:cs="宋体"/>
          <w:color w:val="auto"/>
          <w:sz w:val="36"/>
          <w:highlight w:val="none"/>
        </w:rPr>
        <w:sectPr>
          <w:pgSz w:w="11906" w:h="16838"/>
          <w:pgMar w:top="1440" w:right="1247" w:bottom="1440" w:left="1247" w:header="851" w:footer="992" w:gutter="0"/>
          <w:pgNumType w:fmt="decimal"/>
          <w:cols w:space="720" w:num="1"/>
          <w:titlePg/>
          <w:docGrid w:type="linesAndChars" w:linePitch="317" w:charSpace="800"/>
        </w:sectPr>
      </w:pPr>
    </w:p>
    <w:p w14:paraId="1AAE9376">
      <w:pPr>
        <w:tabs>
          <w:tab w:val="left" w:pos="1069"/>
          <w:tab w:val="left" w:pos="2352"/>
        </w:tabs>
        <w:autoSpaceDE w:val="0"/>
        <w:autoSpaceDN w:val="0"/>
        <w:adjustRightInd w:val="0"/>
        <w:spacing w:line="460" w:lineRule="atLeas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lang w:val="en-US" w:eastAsia="zh-CN"/>
        </w:rPr>
        <w:t>七</w:t>
      </w:r>
    </w:p>
    <w:p w14:paraId="258C0EBE">
      <w:pPr>
        <w:tabs>
          <w:tab w:val="left" w:pos="1069"/>
          <w:tab w:val="left" w:pos="2352"/>
        </w:tabs>
        <w:autoSpaceDE w:val="0"/>
        <w:autoSpaceDN w:val="0"/>
        <w:adjustRightInd w:val="0"/>
        <w:spacing w:line="460" w:lineRule="atLeast"/>
        <w:jc w:val="center"/>
        <w:rPr>
          <w:rFonts w:ascii="宋体" w:hAnsi="宋体" w:cs="宋体"/>
          <w:color w:val="auto"/>
          <w:sz w:val="36"/>
          <w:highlight w:val="none"/>
          <w:lang w:val="zh-CN"/>
        </w:rPr>
      </w:pPr>
      <w:r>
        <w:rPr>
          <w:rFonts w:hint="eastAsia" w:ascii="宋体" w:hAnsi="宋体" w:cs="宋体"/>
          <w:b/>
          <w:bCs/>
          <w:color w:val="auto"/>
          <w:sz w:val="30"/>
          <w:highlight w:val="none"/>
          <w:lang w:val="zh-CN"/>
        </w:rPr>
        <w:t>有依法缴纳税收和社会保障资金的良好记录的承诺函</w:t>
      </w:r>
    </w:p>
    <w:p w14:paraId="6D1DF5FB">
      <w:pPr>
        <w:tabs>
          <w:tab w:val="left" w:pos="1069"/>
          <w:tab w:val="left" w:pos="2352"/>
        </w:tabs>
        <w:spacing w:line="460" w:lineRule="exact"/>
        <w:rPr>
          <w:rFonts w:ascii="宋体" w:hAnsi="宋体" w:cs="宋体"/>
          <w:color w:val="auto"/>
          <w:sz w:val="22"/>
          <w:highlight w:val="none"/>
          <w:u w:val="single"/>
        </w:rPr>
      </w:pPr>
    </w:p>
    <w:p w14:paraId="74DD25C6">
      <w:pPr>
        <w:tabs>
          <w:tab w:val="left" w:pos="1069"/>
          <w:tab w:val="left" w:pos="2352"/>
        </w:tabs>
        <w:spacing w:line="460" w:lineRule="exact"/>
        <w:rPr>
          <w:rFonts w:ascii="宋体" w:hAnsi="宋体" w:cs="宋体"/>
          <w:color w:val="auto"/>
          <w:sz w:val="22"/>
          <w:highlight w:val="none"/>
          <w:u w:val="single"/>
        </w:rPr>
      </w:pPr>
      <w:r>
        <w:rPr>
          <w:rFonts w:hint="eastAsia" w:ascii="宋体" w:hAnsi="宋体" w:cs="宋体"/>
          <w:color w:val="auto"/>
          <w:sz w:val="22"/>
          <w:highlight w:val="none"/>
          <w:u w:val="single"/>
          <w:lang w:eastAsia="zh-CN"/>
        </w:rPr>
        <w:t>温州公用事业发展集团泰顺水务有限公司</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eastAsia="zh-CN"/>
        </w:rPr>
        <w:t>浙江三凌建设项目管理有限公司</w:t>
      </w:r>
      <w:r>
        <w:rPr>
          <w:rFonts w:hint="eastAsia" w:ascii="宋体" w:hAnsi="宋体" w:cs="宋体"/>
          <w:color w:val="auto"/>
          <w:sz w:val="22"/>
          <w:highlight w:val="none"/>
          <w:u w:val="single"/>
        </w:rPr>
        <w:t>：</w:t>
      </w:r>
    </w:p>
    <w:p w14:paraId="6E98950C">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p>
    <w:p w14:paraId="3894E9EC">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r>
        <w:rPr>
          <w:rFonts w:hint="eastAsia" w:ascii="宋体" w:hAnsi="宋体" w:cs="宋体"/>
          <w:color w:val="auto"/>
          <w:sz w:val="22"/>
          <w:highlight w:val="none"/>
        </w:rPr>
        <w:t>我方</w:t>
      </w:r>
      <w:r>
        <w:rPr>
          <w:rFonts w:hint="eastAsia" w:ascii="宋体" w:hAnsi="宋体" w:cs="宋体"/>
          <w:color w:val="auto"/>
          <w:sz w:val="22"/>
          <w:highlight w:val="none"/>
          <w:u w:val="single"/>
        </w:rPr>
        <w:t xml:space="preserve"> （供应商）  </w:t>
      </w:r>
      <w:r>
        <w:rPr>
          <w:rFonts w:hint="eastAsia" w:ascii="宋体" w:hAnsi="宋体" w:cs="宋体"/>
          <w:color w:val="auto"/>
          <w:sz w:val="22"/>
          <w:highlight w:val="none"/>
        </w:rPr>
        <w:t>承诺有依法缴纳税收和社会保障资金的良好记录。如有虚假，采购人可取消我方任何资格（投标/中标/签订合同），我方对此无任何异议。</w:t>
      </w:r>
    </w:p>
    <w:p w14:paraId="37543B17">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p>
    <w:p w14:paraId="3568A637">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r>
        <w:rPr>
          <w:rFonts w:hint="eastAsia" w:ascii="宋体" w:hAnsi="宋体" w:cs="宋体"/>
          <w:color w:val="auto"/>
          <w:sz w:val="22"/>
          <w:highlight w:val="none"/>
        </w:rPr>
        <w:t>特此承诺！</w:t>
      </w:r>
    </w:p>
    <w:p w14:paraId="730EEE91">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p>
    <w:p w14:paraId="3B5EA567">
      <w:pPr>
        <w:pStyle w:val="19"/>
        <w:tabs>
          <w:tab w:val="left" w:pos="1069"/>
          <w:tab w:val="left" w:pos="2352"/>
        </w:tabs>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7FF01BB4">
      <w:pPr>
        <w:pStyle w:val="19"/>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54A3FFB8">
      <w:pPr>
        <w:pStyle w:val="19"/>
        <w:tabs>
          <w:tab w:val="left" w:pos="1069"/>
          <w:tab w:val="left" w:pos="2352"/>
        </w:tabs>
        <w:spacing w:line="440" w:lineRule="atLeast"/>
        <w:rPr>
          <w:rFonts w:hint="eastAsia" w:hAnsi="宋体" w:cs="宋体"/>
          <w:color w:val="auto"/>
          <w:sz w:val="22"/>
          <w:highlight w:val="none"/>
        </w:rPr>
        <w:sectPr>
          <w:pgSz w:w="11906" w:h="16838"/>
          <w:pgMar w:top="1440" w:right="1247" w:bottom="1440" w:left="1247" w:header="851" w:footer="992" w:gutter="0"/>
          <w:pgNumType w:fmt="decimal"/>
          <w:cols w:space="720" w:num="1"/>
          <w:titlePg/>
          <w:docGrid w:type="linesAndChars" w:linePitch="317" w:charSpace="800"/>
        </w:sectPr>
      </w:pPr>
      <w:r>
        <w:rPr>
          <w:rFonts w:hint="eastAsia" w:hAnsi="宋体" w:cs="宋体"/>
          <w:color w:val="auto"/>
          <w:sz w:val="22"/>
          <w:highlight w:val="none"/>
        </w:rPr>
        <w:t>日期：</w:t>
      </w:r>
      <w:bookmarkStart w:id="209" w:name="_Toc27119255"/>
      <w:bookmarkStart w:id="210" w:name="_Toc33194406"/>
      <w:bookmarkStart w:id="211" w:name="_Toc28957"/>
      <w:bookmarkStart w:id="212" w:name="_Toc10630"/>
      <w:bookmarkStart w:id="213" w:name="_Toc14589"/>
      <w:bookmarkStart w:id="214" w:name="_Toc31784"/>
      <w:bookmarkStart w:id="215" w:name="_Toc18304"/>
      <w:bookmarkStart w:id="216" w:name="_Toc6606"/>
      <w:bookmarkStart w:id="217" w:name="_Toc11360"/>
      <w:bookmarkStart w:id="218" w:name="_Toc14988"/>
      <w:bookmarkStart w:id="219" w:name="_Toc31544"/>
      <w:bookmarkStart w:id="220" w:name="_Toc13669"/>
    </w:p>
    <w:p w14:paraId="612F7A65">
      <w:pPr>
        <w:tabs>
          <w:tab w:val="left" w:pos="1069"/>
          <w:tab w:val="left" w:pos="2352"/>
        </w:tabs>
        <w:autoSpaceDE w:val="0"/>
        <w:autoSpaceDN w:val="0"/>
        <w:adjustRightInd w:val="0"/>
        <w:spacing w:line="460" w:lineRule="atLeast"/>
        <w:rPr>
          <w:rFonts w:hint="eastAsia" w:ascii="宋体" w:hAnsi="宋体" w:eastAsia="宋体" w:cs="宋体"/>
          <w:color w:val="auto"/>
          <w:sz w:val="36"/>
          <w:highlight w:val="none"/>
          <w:lang w:val="en-US" w:eastAsia="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lang w:val="en-US" w:eastAsia="zh-CN"/>
        </w:rPr>
        <w:t>八</w:t>
      </w:r>
    </w:p>
    <w:p w14:paraId="394D4668">
      <w:pPr>
        <w:tabs>
          <w:tab w:val="left" w:pos="1069"/>
          <w:tab w:val="left" w:pos="2352"/>
        </w:tabs>
        <w:autoSpaceDE w:val="0"/>
        <w:autoSpaceDN w:val="0"/>
        <w:adjustRightInd w:val="0"/>
        <w:spacing w:line="460" w:lineRule="atLeast"/>
        <w:jc w:val="center"/>
        <w:rPr>
          <w:rFonts w:ascii="宋体" w:hAnsi="宋体" w:cs="宋体"/>
          <w:b/>
          <w:bCs/>
          <w:color w:val="auto"/>
          <w:sz w:val="30"/>
          <w:highlight w:val="none"/>
          <w:lang w:val="zh-CN"/>
        </w:rPr>
      </w:pPr>
      <w:r>
        <w:rPr>
          <w:rFonts w:hint="eastAsia" w:ascii="宋体" w:hAnsi="宋体" w:cs="宋体"/>
          <w:b/>
          <w:bCs/>
          <w:color w:val="auto"/>
          <w:sz w:val="30"/>
          <w:highlight w:val="none"/>
          <w:lang w:val="zh-CN"/>
        </w:rPr>
        <w:t>参加政府采购活动前3年内在经营活动中没有重大违法记录的声明函</w:t>
      </w:r>
      <w:bookmarkEnd w:id="209"/>
      <w:bookmarkEnd w:id="210"/>
      <w:bookmarkEnd w:id="211"/>
      <w:bookmarkEnd w:id="212"/>
      <w:bookmarkEnd w:id="213"/>
      <w:bookmarkEnd w:id="214"/>
      <w:bookmarkEnd w:id="215"/>
      <w:bookmarkEnd w:id="216"/>
      <w:bookmarkEnd w:id="217"/>
      <w:bookmarkEnd w:id="218"/>
      <w:bookmarkEnd w:id="219"/>
      <w:bookmarkEnd w:id="220"/>
    </w:p>
    <w:p w14:paraId="272D2956">
      <w:pPr>
        <w:tabs>
          <w:tab w:val="left" w:pos="1069"/>
          <w:tab w:val="left" w:pos="2352"/>
        </w:tabs>
        <w:spacing w:line="460" w:lineRule="exact"/>
        <w:rPr>
          <w:rFonts w:ascii="宋体" w:hAnsi="宋体" w:cs="宋体"/>
          <w:color w:val="auto"/>
          <w:sz w:val="22"/>
          <w:highlight w:val="none"/>
          <w:u w:val="single"/>
        </w:rPr>
      </w:pPr>
      <w:r>
        <w:rPr>
          <w:rFonts w:hint="eastAsia" w:ascii="宋体" w:hAnsi="宋体" w:cs="宋体"/>
          <w:color w:val="auto"/>
          <w:sz w:val="22"/>
          <w:highlight w:val="none"/>
          <w:u w:val="single"/>
          <w:lang w:eastAsia="zh-CN"/>
        </w:rPr>
        <w:t>温州公用事业发展集团泰顺水务有限公司</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eastAsia="zh-CN"/>
        </w:rPr>
        <w:t>浙江三凌建设项目管理有限公司</w:t>
      </w:r>
      <w:r>
        <w:rPr>
          <w:rFonts w:hint="eastAsia" w:ascii="宋体" w:hAnsi="宋体" w:cs="宋体"/>
          <w:color w:val="auto"/>
          <w:sz w:val="22"/>
          <w:highlight w:val="none"/>
          <w:u w:val="single"/>
        </w:rPr>
        <w:t>：</w:t>
      </w:r>
    </w:p>
    <w:p w14:paraId="536902AC">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r>
        <w:rPr>
          <w:rFonts w:hint="eastAsia" w:ascii="宋体" w:hAnsi="宋体" w:cs="宋体"/>
          <w:color w:val="auto"/>
          <w:sz w:val="22"/>
          <w:highlight w:val="none"/>
        </w:rPr>
        <w:t>我方</w:t>
      </w:r>
      <w:r>
        <w:rPr>
          <w:rFonts w:hint="eastAsia" w:ascii="宋体" w:hAnsi="宋体" w:cs="宋体"/>
          <w:color w:val="auto"/>
          <w:sz w:val="22"/>
          <w:highlight w:val="none"/>
          <w:u w:val="single"/>
        </w:rPr>
        <w:t xml:space="preserve"> （供应商）  </w:t>
      </w:r>
      <w:r>
        <w:rPr>
          <w:rFonts w:hint="eastAsia" w:ascii="宋体" w:hAnsi="宋体" w:cs="宋体"/>
          <w:color w:val="auto"/>
          <w:sz w:val="22"/>
          <w:highlight w:val="none"/>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73C19B8E">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p>
    <w:p w14:paraId="55E22651">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r>
        <w:rPr>
          <w:rFonts w:hint="eastAsia" w:ascii="宋体" w:hAnsi="宋体" w:cs="宋体"/>
          <w:color w:val="auto"/>
          <w:sz w:val="22"/>
          <w:highlight w:val="none"/>
        </w:rPr>
        <w:t>特此承诺！</w:t>
      </w:r>
    </w:p>
    <w:p w14:paraId="396BF9B8">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p>
    <w:p w14:paraId="365BD501">
      <w:pPr>
        <w:pStyle w:val="19"/>
        <w:tabs>
          <w:tab w:val="left" w:pos="1069"/>
          <w:tab w:val="left" w:pos="2352"/>
        </w:tabs>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6C0F53BC">
      <w:pPr>
        <w:pStyle w:val="19"/>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02D51956">
      <w:pPr>
        <w:pStyle w:val="19"/>
        <w:tabs>
          <w:tab w:val="left" w:pos="1069"/>
          <w:tab w:val="left" w:pos="2352"/>
        </w:tabs>
        <w:spacing w:line="440" w:lineRule="atLeast"/>
        <w:rPr>
          <w:rFonts w:hint="eastAsia" w:hAnsi="宋体" w:cs="宋体"/>
          <w:color w:val="auto"/>
          <w:sz w:val="22"/>
          <w:highlight w:val="none"/>
        </w:rPr>
        <w:sectPr>
          <w:pgSz w:w="11906" w:h="16838"/>
          <w:pgMar w:top="1440" w:right="1247" w:bottom="1440" w:left="1247" w:header="851" w:footer="992" w:gutter="0"/>
          <w:pgNumType w:fmt="decimal"/>
          <w:cols w:space="720" w:num="1"/>
          <w:titlePg/>
          <w:docGrid w:type="linesAndChars" w:linePitch="317" w:charSpace="800"/>
        </w:sectPr>
      </w:pPr>
      <w:r>
        <w:rPr>
          <w:rFonts w:hint="eastAsia" w:hAnsi="宋体" w:cs="宋体"/>
          <w:color w:val="auto"/>
          <w:sz w:val="22"/>
          <w:highlight w:val="none"/>
        </w:rPr>
        <w:t>日期：</w:t>
      </w:r>
    </w:p>
    <w:p w14:paraId="4A5816D9">
      <w:pPr>
        <w:tabs>
          <w:tab w:val="left" w:pos="1069"/>
          <w:tab w:val="left" w:pos="2352"/>
        </w:tabs>
        <w:spacing w:line="360" w:lineRule="exact"/>
        <w:jc w:val="lef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九</w:t>
      </w:r>
    </w:p>
    <w:p w14:paraId="567257A6">
      <w:pPr>
        <w:tabs>
          <w:tab w:val="left" w:pos="1069"/>
          <w:tab w:val="left" w:pos="1080"/>
          <w:tab w:val="left" w:pos="2352"/>
        </w:tabs>
        <w:autoSpaceDE w:val="0"/>
        <w:autoSpaceDN w:val="0"/>
        <w:adjustRightInd w:val="0"/>
        <w:spacing w:line="360" w:lineRule="exact"/>
        <w:jc w:val="center"/>
        <w:rPr>
          <w:rFonts w:ascii="宋体" w:hAnsi="宋体" w:cs="宋体"/>
          <w:b/>
          <w:bCs/>
          <w:color w:val="auto"/>
          <w:sz w:val="36"/>
          <w:highlight w:val="none"/>
          <w:lang w:val="zh-CN"/>
        </w:rPr>
      </w:pPr>
      <w:bookmarkStart w:id="221" w:name="_Toc32552_WPSOffice_Level3"/>
      <w:r>
        <w:rPr>
          <w:rFonts w:hint="eastAsia" w:ascii="宋体" w:hAnsi="宋体" w:cs="宋体"/>
          <w:b/>
          <w:bCs/>
          <w:color w:val="auto"/>
          <w:sz w:val="32"/>
          <w:highlight w:val="none"/>
          <w:lang w:val="zh-CN"/>
        </w:rPr>
        <w:t>法定代表人授权书</w:t>
      </w:r>
      <w:bookmarkEnd w:id="221"/>
    </w:p>
    <w:p w14:paraId="69DF8EC7">
      <w:pPr>
        <w:tabs>
          <w:tab w:val="left" w:pos="1069"/>
          <w:tab w:val="left" w:pos="2352"/>
        </w:tabs>
        <w:autoSpaceDE w:val="0"/>
        <w:autoSpaceDN w:val="0"/>
        <w:adjustRightInd w:val="0"/>
        <w:spacing w:line="360" w:lineRule="exact"/>
        <w:jc w:val="center"/>
        <w:rPr>
          <w:rFonts w:ascii="宋体" w:hAnsi="宋体" w:cs="宋体"/>
          <w:color w:val="auto"/>
          <w:sz w:val="36"/>
          <w:highlight w:val="none"/>
          <w:lang w:val="zh-CN"/>
        </w:rPr>
      </w:pPr>
    </w:p>
    <w:p w14:paraId="24136DB4">
      <w:pPr>
        <w:tabs>
          <w:tab w:val="left" w:pos="1069"/>
          <w:tab w:val="left" w:pos="2352"/>
        </w:tabs>
        <w:spacing w:line="400" w:lineRule="atLeast"/>
        <w:rPr>
          <w:rFonts w:ascii="宋体" w:hAnsi="宋体" w:cs="宋体"/>
          <w:color w:val="auto"/>
          <w:sz w:val="22"/>
          <w:highlight w:val="none"/>
        </w:rPr>
      </w:pPr>
      <w:r>
        <w:rPr>
          <w:rFonts w:hint="eastAsia" w:ascii="宋体" w:hAnsi="宋体" w:cs="宋体"/>
          <w:color w:val="auto"/>
          <w:sz w:val="22"/>
          <w:highlight w:val="none"/>
          <w:u w:val="single"/>
          <w:lang w:eastAsia="zh-CN"/>
        </w:rPr>
        <w:t>温州公用事业发展集团泰顺水务有限公司</w:t>
      </w:r>
      <w:r>
        <w:rPr>
          <w:rFonts w:hint="eastAsia" w:ascii="宋体" w:hAnsi="宋体" w:cs="宋体"/>
          <w:color w:val="auto"/>
          <w:sz w:val="22"/>
          <w:highlight w:val="none"/>
          <w:lang w:val="zh-CN"/>
        </w:rPr>
        <w:t>：</w:t>
      </w:r>
    </w:p>
    <w:p w14:paraId="0B63D98E">
      <w:pPr>
        <w:tabs>
          <w:tab w:val="left" w:pos="1069"/>
          <w:tab w:val="left" w:pos="2352"/>
        </w:tabs>
        <w:snapToGrid w:val="0"/>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（法定代表人姓名）</w:t>
      </w:r>
      <w:r>
        <w:rPr>
          <w:rFonts w:hint="eastAsia" w:ascii="宋体" w:hAnsi="宋体" w:cs="宋体"/>
          <w:color w:val="auto"/>
          <w:sz w:val="22"/>
          <w:highlight w:val="none"/>
        </w:rPr>
        <w:t>系</w:t>
      </w:r>
      <w:r>
        <w:rPr>
          <w:rFonts w:hint="eastAsia" w:ascii="宋体" w:hAnsi="宋体" w:cs="宋体"/>
          <w:color w:val="auto"/>
          <w:sz w:val="22"/>
          <w:highlight w:val="none"/>
          <w:u w:val="single"/>
        </w:rPr>
        <w:t>（供应商名称）</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（单位名称）</w:t>
      </w:r>
      <w:r>
        <w:rPr>
          <w:rFonts w:hint="eastAsia" w:ascii="宋体" w:hAnsi="宋体" w:cs="宋体"/>
          <w:color w:val="auto"/>
          <w:sz w:val="22"/>
          <w:highlight w:val="none"/>
        </w:rPr>
        <w:t>的</w:t>
      </w:r>
      <w:r>
        <w:rPr>
          <w:rFonts w:hint="eastAsia" w:ascii="宋体" w:hAnsi="宋体" w:cs="宋体"/>
          <w:color w:val="auto"/>
          <w:sz w:val="22"/>
          <w:highlight w:val="none"/>
          <w:u w:val="single"/>
        </w:rPr>
        <w:t>（授权代表姓名）</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lang w:eastAsia="zh-CN"/>
        </w:rPr>
        <w:t>龟湖镇水厂备用水源工程设备采购</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TSCG202601002</w:t>
      </w:r>
      <w:r>
        <w:rPr>
          <w:rFonts w:hint="eastAsia" w:ascii="宋体" w:hAnsi="宋体" w:cs="宋体"/>
          <w:color w:val="auto"/>
          <w:sz w:val="22"/>
          <w:highlight w:val="none"/>
          <w:u w:val="single"/>
        </w:rPr>
        <w:t>）</w:t>
      </w:r>
      <w:r>
        <w:rPr>
          <w:rFonts w:hint="eastAsia" w:ascii="宋体" w:hAnsi="宋体" w:cs="宋体"/>
          <w:color w:val="auto"/>
          <w:sz w:val="22"/>
          <w:highlight w:val="none"/>
        </w:rPr>
        <w:t>项目投标，全权处理本次招投标活动中的一切事宜，我承认授权代表全权代表我所签署的本项目的投标（响应）文件的内容。</w:t>
      </w:r>
    </w:p>
    <w:p w14:paraId="2D5EA4D2">
      <w:pPr>
        <w:tabs>
          <w:tab w:val="left" w:pos="1069"/>
          <w:tab w:val="left" w:pos="2352"/>
        </w:tabs>
        <w:spacing w:line="400" w:lineRule="atLeast"/>
        <w:ind w:firstLine="446" w:firstLineChars="200"/>
        <w:rPr>
          <w:rFonts w:ascii="宋体" w:hAnsi="宋体" w:cs="宋体"/>
          <w:color w:val="auto"/>
          <w:sz w:val="22"/>
          <w:highlight w:val="none"/>
        </w:rPr>
      </w:pPr>
    </w:p>
    <w:p w14:paraId="22E97654">
      <w:pPr>
        <w:tabs>
          <w:tab w:val="left" w:pos="1069"/>
          <w:tab w:val="left" w:pos="2352"/>
        </w:tabs>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授权代表无转授权，特此授权。</w:t>
      </w:r>
    </w:p>
    <w:p w14:paraId="62E198F9">
      <w:pPr>
        <w:tabs>
          <w:tab w:val="left" w:pos="1069"/>
          <w:tab w:val="left" w:pos="2352"/>
        </w:tabs>
        <w:spacing w:line="400" w:lineRule="atLeast"/>
        <w:rPr>
          <w:rFonts w:ascii="宋体" w:hAnsi="宋体" w:cs="宋体"/>
          <w:color w:val="auto"/>
          <w:sz w:val="22"/>
          <w:highlight w:val="none"/>
        </w:rPr>
      </w:pPr>
    </w:p>
    <w:p w14:paraId="422CB5EA">
      <w:pPr>
        <w:tabs>
          <w:tab w:val="left" w:pos="1069"/>
          <w:tab w:val="left" w:pos="2352"/>
        </w:tabs>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（签字）</w:t>
      </w:r>
      <w:r>
        <w:rPr>
          <w:rFonts w:hint="eastAsia" w:ascii="宋体" w:hAnsi="宋体" w:cs="宋体"/>
          <w:color w:val="auto"/>
          <w:sz w:val="22"/>
          <w:highlight w:val="none"/>
        </w:rPr>
        <w:t>性别：</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年龄：</w:t>
      </w:r>
      <w:r>
        <w:rPr>
          <w:rFonts w:hint="eastAsia" w:ascii="宋体" w:hAnsi="宋体" w:cs="宋体"/>
          <w:color w:val="auto"/>
          <w:sz w:val="22"/>
          <w:highlight w:val="none"/>
          <w:u w:val="single"/>
        </w:rPr>
        <w:t xml:space="preserve">        </w:t>
      </w:r>
    </w:p>
    <w:p w14:paraId="4AD8D760">
      <w:pPr>
        <w:tabs>
          <w:tab w:val="left" w:pos="1069"/>
          <w:tab w:val="left" w:pos="2352"/>
        </w:tabs>
        <w:spacing w:line="400" w:lineRule="atLeast"/>
        <w:ind w:firstLine="2992" w:firstLineChars="1342"/>
        <w:rPr>
          <w:rFonts w:ascii="宋体" w:hAnsi="宋体" w:cs="宋体"/>
          <w:color w:val="auto"/>
          <w:sz w:val="22"/>
          <w:highlight w:val="none"/>
          <w:u w:val="single"/>
        </w:rPr>
      </w:pPr>
    </w:p>
    <w:p w14:paraId="5B6BCE04">
      <w:pPr>
        <w:tabs>
          <w:tab w:val="left" w:pos="1069"/>
          <w:tab w:val="left" w:pos="2352"/>
        </w:tabs>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邮政编码：</w:t>
      </w:r>
      <w:r>
        <w:rPr>
          <w:rFonts w:hint="eastAsia" w:ascii="宋体" w:hAnsi="宋体" w:cs="宋体"/>
          <w:color w:val="auto"/>
          <w:sz w:val="22"/>
          <w:highlight w:val="none"/>
          <w:u w:val="single"/>
        </w:rPr>
        <w:t xml:space="preserve">        </w:t>
      </w:r>
    </w:p>
    <w:p w14:paraId="0E5DC45A">
      <w:pPr>
        <w:tabs>
          <w:tab w:val="left" w:pos="1069"/>
          <w:tab w:val="left" w:pos="2352"/>
        </w:tabs>
        <w:spacing w:line="400" w:lineRule="atLeast"/>
        <w:ind w:firstLine="2992" w:firstLineChars="1342"/>
        <w:rPr>
          <w:rFonts w:ascii="宋体" w:hAnsi="宋体" w:cs="宋体"/>
          <w:color w:val="auto"/>
          <w:sz w:val="22"/>
          <w:highlight w:val="none"/>
          <w:u w:val="single"/>
        </w:rPr>
      </w:pPr>
    </w:p>
    <w:p w14:paraId="4072B956">
      <w:pPr>
        <w:tabs>
          <w:tab w:val="left" w:pos="1069"/>
          <w:tab w:val="left" w:pos="2352"/>
        </w:tabs>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7002DD3C">
      <w:pPr>
        <w:tabs>
          <w:tab w:val="left" w:pos="1069"/>
          <w:tab w:val="left" w:pos="2352"/>
        </w:tabs>
        <w:spacing w:line="400" w:lineRule="atLeast"/>
        <w:ind w:left="1" w:firstLine="427" w:firstLineChars="192"/>
        <w:rPr>
          <w:rFonts w:ascii="宋体" w:hAnsi="宋体" w:cs="宋体"/>
          <w:color w:val="auto"/>
          <w:sz w:val="22"/>
          <w:highlight w:val="none"/>
        </w:rPr>
      </w:pPr>
    </w:p>
    <w:p w14:paraId="32A1975F">
      <w:pPr>
        <w:tabs>
          <w:tab w:val="left" w:pos="1069"/>
          <w:tab w:val="left" w:pos="2352"/>
        </w:tabs>
        <w:spacing w:line="400" w:lineRule="atLeast"/>
        <w:ind w:left="1" w:firstLine="2985" w:firstLineChars="1339"/>
        <w:rPr>
          <w:rFonts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（盖章）       </w:t>
      </w:r>
    </w:p>
    <w:p w14:paraId="20F472C4">
      <w:pPr>
        <w:tabs>
          <w:tab w:val="left" w:pos="1069"/>
          <w:tab w:val="left" w:pos="2352"/>
        </w:tabs>
        <w:spacing w:line="400" w:lineRule="atLeast"/>
        <w:ind w:left="1" w:firstLine="427" w:firstLineChars="192"/>
        <w:rPr>
          <w:rFonts w:ascii="宋体" w:hAnsi="宋体" w:cs="宋体"/>
          <w:color w:val="auto"/>
          <w:sz w:val="22"/>
          <w:highlight w:val="none"/>
        </w:rPr>
      </w:pPr>
    </w:p>
    <w:p w14:paraId="468DC3A2">
      <w:pPr>
        <w:tabs>
          <w:tab w:val="left" w:pos="1069"/>
          <w:tab w:val="left" w:pos="2352"/>
        </w:tabs>
        <w:spacing w:line="400" w:lineRule="atLeast"/>
        <w:ind w:left="2100" w:right="440"/>
        <w:jc w:val="center"/>
        <w:rPr>
          <w:rFonts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（签字或盖章）</w:t>
      </w:r>
    </w:p>
    <w:p w14:paraId="4A729C4E">
      <w:pPr>
        <w:tabs>
          <w:tab w:val="left" w:pos="1069"/>
          <w:tab w:val="left" w:pos="2352"/>
        </w:tabs>
        <w:spacing w:line="400" w:lineRule="atLeast"/>
        <w:ind w:left="2699"/>
        <w:rPr>
          <w:rFonts w:ascii="宋体" w:hAnsi="宋体" w:cs="宋体"/>
          <w:color w:val="auto"/>
          <w:sz w:val="22"/>
          <w:highlight w:val="none"/>
        </w:rPr>
      </w:pPr>
    </w:p>
    <w:p w14:paraId="33339CFE">
      <w:pPr>
        <w:tabs>
          <w:tab w:val="left" w:pos="1069"/>
          <w:tab w:val="left" w:pos="2352"/>
        </w:tabs>
        <w:spacing w:line="400" w:lineRule="atLeast"/>
        <w:ind w:right="440" w:firstLine="3345" w:firstLineChars="1500"/>
        <w:jc w:val="center"/>
        <w:rPr>
          <w:rFonts w:ascii="宋体" w:hAnsi="宋体" w:cs="宋体"/>
          <w:color w:val="auto"/>
          <w:sz w:val="22"/>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年  月  日</w:t>
      </w:r>
    </w:p>
    <w:p w14:paraId="0C57BA78">
      <w:pPr>
        <w:tabs>
          <w:tab w:val="left" w:pos="1069"/>
          <w:tab w:val="left" w:pos="2352"/>
        </w:tabs>
        <w:spacing w:line="360" w:lineRule="exact"/>
        <w:ind w:left="2699"/>
        <w:rPr>
          <w:rFonts w:ascii="宋体" w:hAnsi="宋体" w:cs="宋体"/>
          <w:color w:val="auto"/>
          <w:sz w:val="22"/>
          <w:highlight w:val="none"/>
        </w:rPr>
      </w:pP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6D7C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noWrap w:val="0"/>
            <w:vAlign w:val="top"/>
          </w:tcPr>
          <w:p w14:paraId="74EA9384">
            <w:pPr>
              <w:pStyle w:val="19"/>
              <w:tabs>
                <w:tab w:val="left" w:pos="1069"/>
                <w:tab w:val="left" w:pos="2352"/>
              </w:tabs>
              <w:adjustRightInd w:val="0"/>
              <w:snapToGrid w:val="0"/>
              <w:spacing w:line="360" w:lineRule="exact"/>
              <w:jc w:val="center"/>
              <w:rPr>
                <w:rFonts w:hAnsi="宋体" w:cs="宋体"/>
                <w:b/>
                <w:bCs/>
                <w:color w:val="auto"/>
                <w:kern w:val="2"/>
                <w:sz w:val="22"/>
                <w:szCs w:val="22"/>
                <w:highlight w:val="none"/>
              </w:rPr>
            </w:pPr>
          </w:p>
          <w:p w14:paraId="0C2CAF8A">
            <w:pPr>
              <w:pStyle w:val="19"/>
              <w:tabs>
                <w:tab w:val="left" w:pos="1069"/>
                <w:tab w:val="left" w:pos="2352"/>
              </w:tabs>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464A40B4">
            <w:pPr>
              <w:pStyle w:val="19"/>
              <w:tabs>
                <w:tab w:val="left" w:pos="1069"/>
                <w:tab w:val="left" w:pos="2352"/>
              </w:tabs>
              <w:adjustRightInd w:val="0"/>
              <w:snapToGrid w:val="0"/>
              <w:spacing w:line="360" w:lineRule="exact"/>
              <w:jc w:val="center"/>
              <w:rPr>
                <w:rFonts w:hAnsi="宋体" w:cs="宋体"/>
                <w:b/>
                <w:bCs/>
                <w:color w:val="auto"/>
                <w:kern w:val="2"/>
                <w:sz w:val="22"/>
                <w:szCs w:val="22"/>
                <w:highlight w:val="none"/>
              </w:rPr>
            </w:pPr>
          </w:p>
        </w:tc>
      </w:tr>
    </w:tbl>
    <w:p w14:paraId="504873B6">
      <w:pPr>
        <w:pStyle w:val="19"/>
        <w:tabs>
          <w:tab w:val="left" w:pos="1069"/>
          <w:tab w:val="left" w:pos="2352"/>
        </w:tabs>
        <w:adjustRightInd w:val="0"/>
        <w:snapToGrid w:val="0"/>
        <w:spacing w:line="360" w:lineRule="exact"/>
        <w:jc w:val="center"/>
        <w:rPr>
          <w:rFonts w:hAnsi="宋体" w:cs="宋体"/>
          <w:color w:val="auto"/>
          <w:sz w:val="22"/>
          <w:highlight w:val="none"/>
          <w:lang w:val="zh-CN"/>
        </w:rPr>
      </w:pPr>
    </w:p>
    <w:p w14:paraId="5258FD09">
      <w:pPr>
        <w:pStyle w:val="19"/>
        <w:tabs>
          <w:tab w:val="left" w:pos="1069"/>
          <w:tab w:val="left" w:pos="2352"/>
        </w:tabs>
        <w:adjustRightInd w:val="0"/>
        <w:snapToGrid w:val="0"/>
        <w:spacing w:line="360" w:lineRule="exact"/>
        <w:jc w:val="center"/>
        <w:rPr>
          <w:rFonts w:hAnsi="宋体" w:cs="宋体"/>
          <w:color w:val="auto"/>
          <w:sz w:val="22"/>
          <w:highlight w:val="none"/>
          <w:lang w:val="zh-CN"/>
        </w:rPr>
      </w:pPr>
    </w:p>
    <w:p w14:paraId="38B66784">
      <w:pPr>
        <w:pStyle w:val="19"/>
        <w:tabs>
          <w:tab w:val="left" w:pos="1069"/>
          <w:tab w:val="left" w:pos="2352"/>
        </w:tabs>
        <w:adjustRightInd w:val="0"/>
        <w:snapToGrid w:val="0"/>
        <w:spacing w:line="360" w:lineRule="exact"/>
        <w:jc w:val="center"/>
        <w:rPr>
          <w:rFonts w:hAnsi="宋体" w:cs="宋体"/>
          <w:color w:val="auto"/>
          <w:sz w:val="22"/>
          <w:highlight w:val="none"/>
          <w:lang w:val="zh-CN"/>
        </w:rPr>
      </w:pP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7753B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noWrap w:val="0"/>
            <w:vAlign w:val="top"/>
          </w:tcPr>
          <w:p w14:paraId="4D1DE31B">
            <w:pPr>
              <w:pStyle w:val="19"/>
              <w:tabs>
                <w:tab w:val="left" w:pos="1069"/>
                <w:tab w:val="left" w:pos="2352"/>
              </w:tabs>
              <w:adjustRightInd w:val="0"/>
              <w:snapToGrid w:val="0"/>
              <w:spacing w:line="360" w:lineRule="exact"/>
              <w:jc w:val="center"/>
              <w:rPr>
                <w:rFonts w:hAnsi="宋体" w:cs="宋体"/>
                <w:b/>
                <w:bCs/>
                <w:color w:val="auto"/>
                <w:kern w:val="2"/>
                <w:sz w:val="22"/>
                <w:szCs w:val="22"/>
                <w:highlight w:val="none"/>
              </w:rPr>
            </w:pPr>
          </w:p>
          <w:p w14:paraId="36FB0F68">
            <w:pPr>
              <w:pStyle w:val="19"/>
              <w:tabs>
                <w:tab w:val="left" w:pos="1069"/>
                <w:tab w:val="left" w:pos="2352"/>
              </w:tabs>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粘贴法人身份证复印影印件</w:t>
            </w:r>
          </w:p>
          <w:p w14:paraId="2F91E8C3">
            <w:pPr>
              <w:pStyle w:val="19"/>
              <w:tabs>
                <w:tab w:val="left" w:pos="1069"/>
                <w:tab w:val="left" w:pos="2352"/>
              </w:tabs>
              <w:adjustRightInd w:val="0"/>
              <w:snapToGrid w:val="0"/>
              <w:spacing w:line="360" w:lineRule="exact"/>
              <w:jc w:val="center"/>
              <w:rPr>
                <w:rFonts w:hAnsi="宋体" w:cs="宋体"/>
                <w:b/>
                <w:bCs/>
                <w:color w:val="auto"/>
                <w:kern w:val="2"/>
                <w:sz w:val="22"/>
                <w:szCs w:val="22"/>
                <w:highlight w:val="none"/>
              </w:rPr>
            </w:pPr>
          </w:p>
        </w:tc>
      </w:tr>
    </w:tbl>
    <w:p w14:paraId="49491D47">
      <w:pPr>
        <w:rPr>
          <w:rFonts w:ascii="宋体" w:hAnsi="宋体"/>
          <w:color w:val="auto"/>
          <w:sz w:val="36"/>
          <w:szCs w:val="36"/>
          <w:highlight w:val="none"/>
        </w:rPr>
      </w:pPr>
    </w:p>
    <w:p w14:paraId="2B34F705">
      <w:pPr>
        <w:pStyle w:val="14"/>
      </w:pPr>
    </w:p>
    <w:p w14:paraId="1FA2CB4C">
      <w:pPr>
        <w:tabs>
          <w:tab w:val="left" w:pos="1069"/>
          <w:tab w:val="left" w:pos="2352"/>
        </w:tabs>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rPr>
        <w:t>三</w:t>
      </w:r>
      <w:r>
        <w:rPr>
          <w:rFonts w:hint="eastAsia" w:ascii="宋体" w:hAnsi="宋体" w:cs="宋体"/>
          <w:b/>
          <w:bCs/>
          <w:color w:val="auto"/>
          <w:sz w:val="22"/>
          <w:highlight w:val="none"/>
          <w:lang w:val="zh-CN"/>
        </w:rPr>
        <w:t>、</w:t>
      </w:r>
      <w:r>
        <w:rPr>
          <w:rFonts w:hint="eastAsia" w:ascii="宋体" w:hAnsi="宋体" w:cs="宋体"/>
          <w:b/>
          <w:bCs/>
          <w:color w:val="auto"/>
          <w:sz w:val="22"/>
          <w:highlight w:val="none"/>
        </w:rPr>
        <w:t>商务技术</w:t>
      </w:r>
      <w:r>
        <w:rPr>
          <w:rFonts w:hint="eastAsia" w:ascii="宋体" w:hAnsi="宋体" w:cs="宋体"/>
          <w:b/>
          <w:bCs/>
          <w:color w:val="auto"/>
          <w:sz w:val="22"/>
          <w:highlight w:val="none"/>
          <w:lang w:val="zh-CN"/>
        </w:rPr>
        <w:t>部分投标文件格式</w:t>
      </w:r>
    </w:p>
    <w:p w14:paraId="32616067">
      <w:pPr>
        <w:pStyle w:val="14"/>
        <w:tabs>
          <w:tab w:val="left" w:pos="1069"/>
          <w:tab w:val="left" w:pos="2352"/>
        </w:tabs>
        <w:rPr>
          <w:rFonts w:ascii="宋体" w:hAnsi="宋体" w:cs="宋体"/>
          <w:color w:val="auto"/>
          <w:sz w:val="22"/>
          <w:szCs w:val="22"/>
          <w:highlight w:val="none"/>
        </w:rPr>
      </w:pPr>
      <w:r>
        <w:rPr>
          <w:rFonts w:hint="eastAsia" w:ascii="宋体" w:hAnsi="宋体" w:cs="宋体"/>
          <w:b/>
          <w:bCs/>
          <w:color w:val="auto"/>
          <w:sz w:val="22"/>
          <w:highlight w:val="none"/>
        </w:rPr>
        <w:t>商务技术</w:t>
      </w:r>
      <w:r>
        <w:rPr>
          <w:rFonts w:hint="eastAsia" w:ascii="宋体" w:hAnsi="宋体" w:cs="宋体"/>
          <w:b/>
          <w:bCs/>
          <w:color w:val="auto"/>
          <w:sz w:val="22"/>
          <w:highlight w:val="none"/>
          <w:lang w:val="zh-CN"/>
        </w:rPr>
        <w:t>部分投标文件</w:t>
      </w:r>
      <w:r>
        <w:rPr>
          <w:rFonts w:hint="eastAsia" w:ascii="宋体" w:hAnsi="宋体" w:cs="宋体"/>
          <w:color w:val="auto"/>
          <w:sz w:val="22"/>
          <w:szCs w:val="22"/>
          <w:highlight w:val="none"/>
        </w:rPr>
        <w:t>封面参考：</w:t>
      </w:r>
    </w:p>
    <w:p w14:paraId="0EB7CA14">
      <w:pPr>
        <w:tabs>
          <w:tab w:val="left" w:pos="1069"/>
          <w:tab w:val="left" w:pos="2352"/>
        </w:tabs>
        <w:snapToGrid w:val="0"/>
        <w:spacing w:line="440" w:lineRule="exact"/>
        <w:jc w:val="center"/>
        <w:rPr>
          <w:rFonts w:ascii="宋体" w:hAnsi="宋体" w:cs="宋体"/>
          <w:b/>
          <w:color w:val="auto"/>
          <w:sz w:val="32"/>
          <w:szCs w:val="32"/>
          <w:highlight w:val="none"/>
        </w:rPr>
      </w:pPr>
    </w:p>
    <w:p w14:paraId="00D06AC8">
      <w:pPr>
        <w:tabs>
          <w:tab w:val="left" w:pos="1069"/>
          <w:tab w:val="left" w:pos="2352"/>
        </w:tabs>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0"/>
          <w:szCs w:val="60"/>
          <w:highlight w:val="none"/>
          <w:lang w:eastAsia="zh-CN"/>
        </w:rPr>
        <w:t>龟湖镇水厂备用水源工程设备采购</w:t>
      </w:r>
    </w:p>
    <w:p w14:paraId="5039A2D6">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66DA147B">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（商 务 技 术 部 分）</w:t>
      </w:r>
    </w:p>
    <w:p w14:paraId="347CEDC2">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p w14:paraId="10A1DFE8">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tbl>
      <w:tblPr>
        <w:tblStyle w:val="38"/>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2695510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val="0"/>
            <w:vAlign w:val="top"/>
          </w:tcPr>
          <w:p w14:paraId="6A370321">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p>
        </w:tc>
      </w:tr>
      <w:tr w14:paraId="774FC03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val="0"/>
            <w:vAlign w:val="top"/>
          </w:tcPr>
          <w:p w14:paraId="198BAE6B">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p>
        </w:tc>
      </w:tr>
      <w:tr w14:paraId="403AE3D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val="0"/>
            <w:vAlign w:val="top"/>
          </w:tcPr>
          <w:p w14:paraId="53C625DF">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p>
        </w:tc>
      </w:tr>
      <w:tr w14:paraId="61E6785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val="0"/>
            <w:vAlign w:val="top"/>
          </w:tcPr>
          <w:p w14:paraId="7077FB71">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440BC95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val="0"/>
            <w:vAlign w:val="top"/>
          </w:tcPr>
          <w:p w14:paraId="59A4711B">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334EB27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val="0"/>
            <w:vAlign w:val="top"/>
          </w:tcPr>
          <w:p w14:paraId="697A74A5">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1169739E">
      <w:pPr>
        <w:tabs>
          <w:tab w:val="left" w:pos="1069"/>
          <w:tab w:val="left" w:pos="2352"/>
        </w:tabs>
        <w:snapToGrid w:val="0"/>
        <w:spacing w:line="600" w:lineRule="atLeast"/>
        <w:rPr>
          <w:rFonts w:hint="eastAsia" w:ascii="宋体" w:hAnsi="宋体" w:cs="宋体"/>
          <w:b/>
          <w:color w:val="auto"/>
          <w:sz w:val="26"/>
          <w:szCs w:val="26"/>
          <w:highlight w:val="none"/>
        </w:rPr>
        <w:sectPr>
          <w:pgSz w:w="11906" w:h="16838"/>
          <w:pgMar w:top="1440" w:right="1247" w:bottom="1440" w:left="1247" w:header="851" w:footer="992" w:gutter="0"/>
          <w:pgNumType w:fmt="decimal"/>
          <w:cols w:space="720" w:num="1"/>
          <w:titlePg/>
          <w:docGrid w:type="linesAndChars" w:linePitch="317" w:charSpace="800"/>
        </w:sectPr>
      </w:pPr>
    </w:p>
    <w:p w14:paraId="39388BAE">
      <w:pPr>
        <w:tabs>
          <w:tab w:val="left" w:pos="1069"/>
          <w:tab w:val="left" w:pos="2352"/>
        </w:tabs>
        <w:spacing w:line="360" w:lineRule="exact"/>
        <w:jc w:val="lef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十</w:t>
      </w:r>
    </w:p>
    <w:p w14:paraId="7E7A9E07">
      <w:pPr>
        <w:tabs>
          <w:tab w:val="left" w:pos="1069"/>
          <w:tab w:val="left" w:pos="2352"/>
        </w:tabs>
        <w:autoSpaceDE w:val="0"/>
        <w:autoSpaceDN w:val="0"/>
        <w:adjustRightInd w:val="0"/>
        <w:spacing w:line="360" w:lineRule="exact"/>
        <w:jc w:val="center"/>
        <w:rPr>
          <w:rFonts w:ascii="宋体" w:hAnsi="宋体" w:cs="宋体"/>
          <w:b/>
          <w:bCs/>
          <w:color w:val="auto"/>
          <w:sz w:val="30"/>
          <w:szCs w:val="30"/>
          <w:highlight w:val="none"/>
          <w:lang w:val="zh-CN"/>
        </w:rPr>
      </w:pPr>
      <w:bookmarkStart w:id="222" w:name="_Toc30988_WPSOffice_Level3"/>
      <w:r>
        <w:rPr>
          <w:rFonts w:hint="eastAsia" w:ascii="宋体" w:hAnsi="宋体" w:cs="宋体"/>
          <w:b/>
          <w:bCs/>
          <w:color w:val="auto"/>
          <w:sz w:val="30"/>
          <w:szCs w:val="30"/>
          <w:highlight w:val="none"/>
        </w:rPr>
        <w:t>报价</w:t>
      </w:r>
      <w:r>
        <w:rPr>
          <w:rFonts w:hint="eastAsia" w:ascii="宋体" w:hAnsi="宋体" w:cs="宋体"/>
          <w:b/>
          <w:bCs/>
          <w:color w:val="auto"/>
          <w:sz w:val="30"/>
          <w:szCs w:val="30"/>
          <w:highlight w:val="none"/>
          <w:lang w:val="zh-CN"/>
        </w:rPr>
        <w:t>函</w:t>
      </w:r>
      <w:bookmarkEnd w:id="222"/>
    </w:p>
    <w:p w14:paraId="754A8DFF">
      <w:pPr>
        <w:tabs>
          <w:tab w:val="left" w:pos="1069"/>
          <w:tab w:val="left" w:pos="2352"/>
        </w:tabs>
        <w:autoSpaceDE w:val="0"/>
        <w:autoSpaceDN w:val="0"/>
        <w:adjustRightInd w:val="0"/>
        <w:spacing w:line="360" w:lineRule="exact"/>
        <w:rPr>
          <w:rFonts w:ascii="宋体" w:hAnsi="宋体" w:cs="宋体"/>
          <w:color w:val="auto"/>
          <w:sz w:val="36"/>
          <w:highlight w:val="none"/>
          <w:lang w:val="zh-CN"/>
        </w:rPr>
      </w:pPr>
    </w:p>
    <w:p w14:paraId="19B8DF8C">
      <w:pPr>
        <w:pStyle w:val="19"/>
        <w:tabs>
          <w:tab w:val="left" w:pos="1069"/>
          <w:tab w:val="left" w:pos="2352"/>
        </w:tabs>
        <w:rPr>
          <w:rFonts w:hAnsi="宋体" w:cs="宋体"/>
          <w:color w:val="auto"/>
          <w:sz w:val="22"/>
          <w:highlight w:val="none"/>
          <w:u w:val="single"/>
        </w:rPr>
      </w:pPr>
      <w:r>
        <w:rPr>
          <w:rFonts w:hint="eastAsia" w:hAnsi="宋体" w:cs="宋体"/>
          <w:color w:val="auto"/>
          <w:sz w:val="22"/>
          <w:highlight w:val="none"/>
          <w:u w:val="single"/>
          <w:lang w:eastAsia="zh-CN"/>
        </w:rPr>
        <w:t>温州公用事业发展集团泰顺水务有限公司</w:t>
      </w:r>
      <w:r>
        <w:rPr>
          <w:rFonts w:hint="eastAsia" w:hAnsi="宋体" w:cs="宋体"/>
          <w:color w:val="auto"/>
          <w:sz w:val="22"/>
          <w:highlight w:val="none"/>
          <w:u w:val="single"/>
        </w:rPr>
        <w:t>：</w:t>
      </w:r>
    </w:p>
    <w:p w14:paraId="2336C5E9">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u w:val="single"/>
          <w:lang w:val="zh-CN"/>
        </w:rPr>
        <w:t>（供应商全称）授权（授权代表名称）（职务、职称）</w:t>
      </w:r>
      <w:r>
        <w:rPr>
          <w:rFonts w:hint="eastAsia" w:ascii="宋体" w:hAnsi="宋体" w:cs="宋体"/>
          <w:color w:val="auto"/>
          <w:sz w:val="22"/>
          <w:highlight w:val="none"/>
          <w:lang w:val="zh-CN"/>
        </w:rPr>
        <w:t>为授权代表，参加贵方组织的</w:t>
      </w:r>
      <w:r>
        <w:rPr>
          <w:rFonts w:hint="eastAsia" w:ascii="宋体" w:hAnsi="宋体" w:cs="宋体"/>
          <w:color w:val="auto"/>
          <w:sz w:val="22"/>
          <w:highlight w:val="none"/>
          <w:u w:val="single"/>
          <w:lang w:eastAsia="zh-CN"/>
        </w:rPr>
        <w:t>龟湖镇水厂备用水源工程设备采购</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val="zh-CN"/>
        </w:rPr>
        <w:t>：</w:t>
      </w:r>
      <w:r>
        <w:rPr>
          <w:rFonts w:hint="eastAsia" w:ascii="宋体" w:hAnsi="宋体" w:cs="宋体"/>
          <w:color w:val="auto"/>
          <w:sz w:val="22"/>
          <w:highlight w:val="none"/>
          <w:u w:val="single"/>
          <w:lang w:eastAsia="zh-CN"/>
        </w:rPr>
        <w:t>TSCG202601002</w:t>
      </w:r>
      <w:r>
        <w:rPr>
          <w:rFonts w:hint="eastAsia" w:ascii="宋体" w:hAnsi="宋体" w:cs="宋体"/>
          <w:color w:val="auto"/>
          <w:sz w:val="22"/>
          <w:highlight w:val="none"/>
          <w:u w:val="single"/>
        </w:rPr>
        <w:t>）</w:t>
      </w:r>
      <w:r>
        <w:rPr>
          <w:rFonts w:hint="eastAsia" w:ascii="宋体" w:hAnsi="宋体" w:cs="宋体"/>
          <w:color w:val="auto"/>
          <w:sz w:val="22"/>
          <w:highlight w:val="none"/>
          <w:lang w:val="zh-CN"/>
        </w:rPr>
        <w:t>招标的有关活动，并对</w:t>
      </w:r>
      <w:r>
        <w:rPr>
          <w:rFonts w:hint="eastAsia" w:ascii="宋体" w:hAnsi="宋体" w:cs="宋体"/>
          <w:color w:val="auto"/>
          <w:sz w:val="22"/>
          <w:highlight w:val="none"/>
          <w:u w:val="single"/>
          <w:lang w:eastAsia="zh-CN"/>
        </w:rPr>
        <w:t>龟湖镇水厂备用水源工程设备采购</w:t>
      </w:r>
      <w:r>
        <w:rPr>
          <w:rFonts w:hint="eastAsia" w:ascii="宋体" w:hAnsi="宋体" w:cs="宋体"/>
          <w:color w:val="auto"/>
          <w:sz w:val="22"/>
          <w:highlight w:val="none"/>
          <w:lang w:val="zh-CN"/>
        </w:rPr>
        <w:t>进行投标。为此：</w:t>
      </w:r>
    </w:p>
    <w:p w14:paraId="123C4C9D">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1、提供供应商须知规定的全部投标（响应）文件：</w:t>
      </w:r>
    </w:p>
    <w:p w14:paraId="6FD8D849">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“电子加密投标文件”：在线上传递交。</w:t>
      </w:r>
    </w:p>
    <w:p w14:paraId="6BF9D5A4">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2、保证遵守</w:t>
      </w:r>
      <w:r>
        <w:rPr>
          <w:rFonts w:hint="eastAsia" w:ascii="宋体" w:hAnsi="宋体" w:cs="宋体"/>
          <w:color w:val="auto"/>
          <w:sz w:val="22"/>
          <w:highlight w:val="none"/>
          <w:lang w:val="en-US" w:eastAsia="zh-CN"/>
        </w:rPr>
        <w:t>招标文件</w:t>
      </w:r>
      <w:r>
        <w:rPr>
          <w:rFonts w:hint="eastAsia" w:ascii="宋体" w:hAnsi="宋体" w:cs="宋体"/>
          <w:color w:val="auto"/>
          <w:sz w:val="22"/>
          <w:highlight w:val="none"/>
          <w:lang w:val="zh-CN"/>
        </w:rPr>
        <w:t>中的有关规定和收费标准。</w:t>
      </w:r>
    </w:p>
    <w:p w14:paraId="03881C3E">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3、保证忠实地执行采购人、中标（成交）供应商双方所签的合同，并承担合同规定的责任义务。</w:t>
      </w:r>
    </w:p>
    <w:p w14:paraId="77C07CAF">
      <w:pPr>
        <w:pStyle w:val="19"/>
        <w:tabs>
          <w:tab w:val="left" w:pos="1069"/>
          <w:tab w:val="left" w:pos="2352"/>
        </w:tabs>
        <w:snapToGrid w:val="0"/>
        <w:spacing w:line="410" w:lineRule="atLeast"/>
        <w:ind w:firstLine="446" w:firstLineChars="200"/>
        <w:rPr>
          <w:rFonts w:hAnsi="宋体" w:cs="宋体"/>
          <w:color w:val="auto"/>
          <w:sz w:val="22"/>
          <w:highlight w:val="none"/>
        </w:rPr>
      </w:pPr>
      <w:r>
        <w:rPr>
          <w:rFonts w:hint="eastAsia" w:hAnsi="宋体" w:cs="宋体"/>
          <w:color w:val="auto"/>
          <w:sz w:val="22"/>
          <w:highlight w:val="none"/>
          <w:lang w:val="zh-CN"/>
        </w:rPr>
        <w:t>4、我方对完工期承诺如下：</w:t>
      </w:r>
      <w:r>
        <w:rPr>
          <w:rFonts w:hint="eastAsia" w:hAnsi="宋体" w:cs="宋体"/>
          <w:color w:val="auto"/>
          <w:sz w:val="22"/>
          <w:highlight w:val="none"/>
        </w:rPr>
        <w:t>按</w:t>
      </w:r>
      <w:r>
        <w:rPr>
          <w:rFonts w:hint="eastAsia" w:hAnsi="宋体" w:cs="宋体"/>
          <w:color w:val="auto"/>
          <w:sz w:val="22"/>
          <w:highlight w:val="none"/>
          <w:lang w:eastAsia="zh-CN"/>
        </w:rPr>
        <w:t>招标文件</w:t>
      </w:r>
      <w:r>
        <w:rPr>
          <w:rFonts w:hint="eastAsia" w:hAnsi="宋体" w:cs="宋体"/>
          <w:color w:val="auto"/>
          <w:sz w:val="22"/>
          <w:highlight w:val="none"/>
        </w:rPr>
        <w:t>规定期限交货并通过采购人验收，逾期采购人有权拒绝供货。</w:t>
      </w:r>
    </w:p>
    <w:p w14:paraId="0779C0B1">
      <w:pPr>
        <w:tabs>
          <w:tab w:val="left" w:pos="1069"/>
          <w:tab w:val="left" w:pos="2352"/>
        </w:tabs>
        <w:autoSpaceDE w:val="0"/>
        <w:autoSpaceDN w:val="0"/>
        <w:adjustRightInd w:val="0"/>
        <w:spacing w:line="440" w:lineRule="atLeast"/>
        <w:ind w:firstLine="450"/>
        <w:rPr>
          <w:rFonts w:ascii="宋体" w:hAnsi="宋体" w:cs="宋体"/>
          <w:color w:val="auto"/>
          <w:sz w:val="22"/>
          <w:highlight w:val="none"/>
          <w:lang w:val="zh-CN"/>
        </w:rPr>
      </w:pPr>
      <w:r>
        <w:rPr>
          <w:rFonts w:hint="eastAsia" w:ascii="宋体" w:hAnsi="宋体" w:cs="宋体"/>
          <w:color w:val="auto"/>
          <w:sz w:val="22"/>
          <w:highlight w:val="none"/>
          <w:lang w:val="zh-CN"/>
        </w:rPr>
        <w:t>5、供应商已详细审查全部</w:t>
      </w:r>
      <w:r>
        <w:rPr>
          <w:rFonts w:hint="eastAsia" w:ascii="宋体" w:hAnsi="宋体" w:cs="宋体"/>
          <w:color w:val="auto"/>
          <w:sz w:val="22"/>
          <w:highlight w:val="none"/>
          <w:lang w:val="en-US" w:eastAsia="zh-CN"/>
        </w:rPr>
        <w:t>招标文件</w:t>
      </w:r>
      <w:r>
        <w:rPr>
          <w:rFonts w:hint="eastAsia" w:ascii="宋体" w:hAnsi="宋体" w:cs="宋体"/>
          <w:color w:val="auto"/>
          <w:sz w:val="22"/>
          <w:highlight w:val="none"/>
          <w:lang w:val="zh-CN"/>
        </w:rPr>
        <w:t>，包括</w:t>
      </w:r>
      <w:r>
        <w:rPr>
          <w:rFonts w:hint="eastAsia" w:ascii="宋体" w:hAnsi="宋体" w:cs="宋体"/>
          <w:color w:val="auto"/>
          <w:sz w:val="22"/>
          <w:highlight w:val="none"/>
          <w:lang w:val="en-US" w:eastAsia="zh-CN"/>
        </w:rPr>
        <w:t>招标文件</w:t>
      </w:r>
      <w:r>
        <w:rPr>
          <w:rFonts w:hint="eastAsia" w:ascii="宋体" w:hAnsi="宋体" w:cs="宋体"/>
          <w:color w:val="auto"/>
          <w:sz w:val="22"/>
          <w:highlight w:val="none"/>
          <w:lang w:val="zh-CN"/>
        </w:rPr>
        <w:t>补充文件（如果有的话）。我方完全理解并同意放弃对这方面有不明及误解的权力。如果</w:t>
      </w:r>
      <w:r>
        <w:rPr>
          <w:rFonts w:hint="eastAsia" w:ascii="宋体" w:hAnsi="宋体" w:cs="宋体"/>
          <w:color w:val="auto"/>
          <w:sz w:val="22"/>
          <w:highlight w:val="none"/>
          <w:lang w:val="en-US" w:eastAsia="zh-CN"/>
        </w:rPr>
        <w:t>招标文件</w:t>
      </w:r>
      <w:r>
        <w:rPr>
          <w:rFonts w:hint="eastAsia" w:ascii="宋体" w:hAnsi="宋体" w:cs="宋体"/>
          <w:color w:val="auto"/>
          <w:sz w:val="22"/>
          <w:highlight w:val="none"/>
          <w:lang w:val="zh-CN"/>
        </w:rPr>
        <w:t>有相互矛盾之处，我方同意按采购人的理解处理。</w:t>
      </w:r>
    </w:p>
    <w:p w14:paraId="06A2ADBC">
      <w:pPr>
        <w:tabs>
          <w:tab w:val="left" w:pos="1069"/>
          <w:tab w:val="left" w:pos="2352"/>
        </w:tabs>
        <w:spacing w:line="340" w:lineRule="exact"/>
        <w:ind w:firstLine="448" w:firstLineChars="201"/>
        <w:rPr>
          <w:rFonts w:ascii="宋体" w:hAnsi="宋体" w:cs="宋体"/>
          <w:color w:val="auto"/>
          <w:sz w:val="22"/>
          <w:highlight w:val="none"/>
        </w:rPr>
      </w:pPr>
      <w:r>
        <w:rPr>
          <w:rFonts w:hint="eastAsia" w:ascii="宋体" w:hAnsi="宋体" w:cs="宋体"/>
          <w:color w:val="auto"/>
          <w:sz w:val="22"/>
          <w:highlight w:val="none"/>
        </w:rPr>
        <w:t>6、利益冲突：近三年内直至目前，我公司与本项目的采购人、招标代理机构没有任何的隶属关系。</w:t>
      </w:r>
    </w:p>
    <w:p w14:paraId="5F25F3EF">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rPr>
        <w:t>7、我公司没有被各级、各地财政监管部门限制参加政府采购活动，且在限制期内。</w:t>
      </w:r>
    </w:p>
    <w:p w14:paraId="25BE3937">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8、愿意向贵方提供任何与该项投标有关的数据、情况和技术资料，完全理解贵方不一定接受最低价的投标或收到的任何投标。</w:t>
      </w:r>
    </w:p>
    <w:p w14:paraId="5E92197F">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9、本投标自开标之日起90天内有效。</w:t>
      </w:r>
    </w:p>
    <w:p w14:paraId="1FC80B60">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10、与本投标有关的一切往来通讯请寄：</w:t>
      </w:r>
    </w:p>
    <w:p w14:paraId="61FB0A03">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u w:val="single"/>
        </w:rPr>
      </w:pPr>
      <w:r>
        <w:rPr>
          <w:rFonts w:hint="eastAsia" w:ascii="宋体" w:hAnsi="宋体" w:cs="宋体"/>
          <w:color w:val="auto"/>
          <w:sz w:val="22"/>
          <w:highlight w:val="none"/>
          <w:lang w:val="zh-CN"/>
        </w:rPr>
        <w:t>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邮编：</w:t>
      </w:r>
      <w:r>
        <w:rPr>
          <w:rFonts w:hint="eastAsia" w:ascii="宋体" w:hAnsi="宋体" w:cs="宋体"/>
          <w:color w:val="auto"/>
          <w:sz w:val="22"/>
          <w:highlight w:val="none"/>
          <w:u w:val="single"/>
        </w:rPr>
        <w:t xml:space="preserve">                     </w:t>
      </w:r>
    </w:p>
    <w:p w14:paraId="4710A512">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传真：</w:t>
      </w:r>
      <w:r>
        <w:rPr>
          <w:rFonts w:hint="eastAsia" w:ascii="宋体" w:hAnsi="宋体" w:cs="宋体"/>
          <w:color w:val="auto"/>
          <w:sz w:val="22"/>
          <w:highlight w:val="none"/>
          <w:u w:val="single"/>
        </w:rPr>
        <w:t xml:space="preserve">                     </w:t>
      </w:r>
    </w:p>
    <w:p w14:paraId="6A304EFB">
      <w:pPr>
        <w:pStyle w:val="19"/>
        <w:tabs>
          <w:tab w:val="left" w:pos="1069"/>
          <w:tab w:val="left" w:pos="2352"/>
        </w:tabs>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67C3BC94">
      <w:pPr>
        <w:pStyle w:val="19"/>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536B1582">
      <w:pPr>
        <w:pStyle w:val="19"/>
        <w:tabs>
          <w:tab w:val="left" w:pos="1069"/>
          <w:tab w:val="left" w:pos="2352"/>
        </w:tabs>
        <w:spacing w:line="440" w:lineRule="atLeast"/>
        <w:rPr>
          <w:rFonts w:hint="eastAsia" w:hAnsi="宋体" w:cs="宋体"/>
          <w:color w:val="auto"/>
          <w:sz w:val="22"/>
          <w:highlight w:val="none"/>
        </w:rPr>
        <w:sectPr>
          <w:pgSz w:w="11906" w:h="16838"/>
          <w:pgMar w:top="1440" w:right="1247" w:bottom="1440" w:left="1247" w:header="851" w:footer="992" w:gutter="0"/>
          <w:pgNumType w:fmt="decimal"/>
          <w:cols w:space="720" w:num="1"/>
          <w:titlePg/>
          <w:docGrid w:type="linesAndChars" w:linePitch="317" w:charSpace="800"/>
        </w:sectPr>
      </w:pPr>
      <w:r>
        <w:rPr>
          <w:rFonts w:hint="eastAsia" w:hAnsi="宋体" w:cs="宋体"/>
          <w:color w:val="auto"/>
          <w:sz w:val="22"/>
          <w:highlight w:val="none"/>
        </w:rPr>
        <w:t>日期：</w:t>
      </w:r>
    </w:p>
    <w:p w14:paraId="27563F15">
      <w:pPr>
        <w:tabs>
          <w:tab w:val="left" w:pos="1069"/>
          <w:tab w:val="left" w:pos="2352"/>
        </w:tabs>
        <w:spacing w:line="360" w:lineRule="exact"/>
        <w:jc w:val="left"/>
        <w:rPr>
          <w:rFonts w:hint="eastAsia" w:ascii="宋体" w:hAnsi="宋体" w:eastAsia="宋体" w:cs="宋体"/>
          <w:color w:val="auto"/>
          <w:sz w:val="22"/>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十一</w:t>
      </w:r>
    </w:p>
    <w:p w14:paraId="3AAE57F0">
      <w:pPr>
        <w:tabs>
          <w:tab w:val="left" w:pos="1069"/>
          <w:tab w:val="left" w:pos="2352"/>
        </w:tabs>
        <w:spacing w:line="360" w:lineRule="exact"/>
        <w:jc w:val="center"/>
        <w:rPr>
          <w:rFonts w:ascii="宋体" w:hAnsi="宋体" w:cs="宋体"/>
          <w:b/>
          <w:bCs/>
          <w:color w:val="auto"/>
          <w:sz w:val="30"/>
          <w:highlight w:val="none"/>
          <w:lang w:val="zh-CN"/>
        </w:rPr>
      </w:pPr>
      <w:bookmarkStart w:id="223" w:name="_Toc15399_WPSOffice_Level3"/>
      <w:r>
        <w:rPr>
          <w:rFonts w:hint="eastAsia" w:ascii="宋体" w:hAnsi="宋体" w:cs="宋体"/>
          <w:b/>
          <w:bCs/>
          <w:color w:val="auto"/>
          <w:sz w:val="30"/>
          <w:highlight w:val="none"/>
          <w:lang w:val="zh-CN"/>
        </w:rPr>
        <w:t>供应商参与政府采购活动投标资格声明函</w:t>
      </w:r>
      <w:bookmarkEnd w:id="223"/>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2B7A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top"/>
          </w:tcPr>
          <w:p w14:paraId="1958973C">
            <w:pPr>
              <w:pStyle w:val="19"/>
              <w:tabs>
                <w:tab w:val="left" w:pos="1069"/>
                <w:tab w:val="left" w:pos="2352"/>
              </w:tabs>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项目名称</w:t>
            </w:r>
          </w:p>
        </w:tc>
        <w:tc>
          <w:tcPr>
            <w:tcW w:w="7992" w:type="dxa"/>
            <w:noWrap w:val="0"/>
            <w:vAlign w:val="top"/>
          </w:tcPr>
          <w:p w14:paraId="66E42F50">
            <w:pPr>
              <w:pStyle w:val="19"/>
              <w:tabs>
                <w:tab w:val="left" w:pos="1069"/>
                <w:tab w:val="left" w:pos="2352"/>
              </w:tabs>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龟湖镇水厂备用水源工程设备采购</w:t>
            </w:r>
          </w:p>
        </w:tc>
      </w:tr>
      <w:tr w14:paraId="0399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top"/>
          </w:tcPr>
          <w:p w14:paraId="0C9863C5">
            <w:pPr>
              <w:pStyle w:val="19"/>
              <w:tabs>
                <w:tab w:val="left" w:pos="1069"/>
                <w:tab w:val="left" w:pos="2352"/>
              </w:tabs>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项目采购编号</w:t>
            </w:r>
          </w:p>
        </w:tc>
        <w:tc>
          <w:tcPr>
            <w:tcW w:w="7992" w:type="dxa"/>
            <w:noWrap w:val="0"/>
            <w:vAlign w:val="top"/>
          </w:tcPr>
          <w:p w14:paraId="69CC0A0A">
            <w:pPr>
              <w:pStyle w:val="19"/>
              <w:tabs>
                <w:tab w:val="left" w:pos="1069"/>
                <w:tab w:val="left" w:pos="2352"/>
              </w:tabs>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sz w:val="22"/>
                <w:highlight w:val="none"/>
                <w:u w:val="none"/>
                <w:lang w:eastAsia="zh-CN"/>
              </w:rPr>
              <w:t>TSCG202601002</w:t>
            </w:r>
          </w:p>
        </w:tc>
      </w:tr>
      <w:tr w14:paraId="22ACA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top"/>
          </w:tcPr>
          <w:p w14:paraId="6B13C556">
            <w:pPr>
              <w:pStyle w:val="19"/>
              <w:tabs>
                <w:tab w:val="left" w:pos="1069"/>
                <w:tab w:val="left" w:pos="2352"/>
              </w:tabs>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时间</w:t>
            </w:r>
          </w:p>
        </w:tc>
        <w:tc>
          <w:tcPr>
            <w:tcW w:w="7992" w:type="dxa"/>
            <w:noWrap w:val="0"/>
            <w:vAlign w:val="top"/>
          </w:tcPr>
          <w:p w14:paraId="1E7FABB9">
            <w:pPr>
              <w:pStyle w:val="19"/>
              <w:tabs>
                <w:tab w:val="left" w:pos="1069"/>
                <w:tab w:val="left" w:pos="2352"/>
              </w:tabs>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本项目投标截止时间</w:t>
            </w:r>
          </w:p>
        </w:tc>
      </w:tr>
      <w:tr w14:paraId="1B61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noWrap w:val="0"/>
            <w:vAlign w:val="top"/>
          </w:tcPr>
          <w:p w14:paraId="55C40F47">
            <w:pPr>
              <w:pStyle w:val="19"/>
              <w:tabs>
                <w:tab w:val="left" w:pos="1069"/>
                <w:tab w:val="left" w:pos="2352"/>
              </w:tabs>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1、根据政府采购法第二十二条规定，我单位满足以下条件，并已经在《资格文件》中提供了相应的证明材料：</w:t>
            </w:r>
          </w:p>
          <w:p w14:paraId="1D532B03">
            <w:pPr>
              <w:pStyle w:val="19"/>
              <w:tabs>
                <w:tab w:val="left" w:pos="1069"/>
                <w:tab w:val="left" w:pos="2352"/>
              </w:tabs>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w:t>
            </w:r>
          </w:p>
          <w:p w14:paraId="78220809">
            <w:pPr>
              <w:pStyle w:val="19"/>
              <w:tabs>
                <w:tab w:val="left" w:pos="1069"/>
                <w:tab w:val="left" w:pos="2352"/>
              </w:tabs>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7ABD4CDA">
            <w:pPr>
              <w:pStyle w:val="19"/>
              <w:tabs>
                <w:tab w:val="left" w:pos="1069"/>
                <w:tab w:val="left" w:pos="2352"/>
              </w:tabs>
              <w:adjustRightInd w:val="0"/>
              <w:snapToGrid w:val="0"/>
              <w:spacing w:line="400" w:lineRule="exact"/>
              <w:ind w:firstLine="400" w:firstLineChars="200"/>
              <w:rPr>
                <w:rFonts w:hAnsi="宋体" w:cs="宋体"/>
                <w:color w:val="auto"/>
                <w:kern w:val="2"/>
                <w:highlight w:val="none"/>
              </w:rPr>
            </w:pPr>
            <w:r>
              <w:rPr>
                <w:rFonts w:hint="eastAsia" w:hAnsi="宋体" w:cs="宋体"/>
                <w:color w:val="auto"/>
                <w:kern w:val="2"/>
                <w:highlight w:val="none"/>
              </w:rPr>
              <w:t>3、我单位没有被各地、各级财政部门限制参加政府采购活动，且在限制期内：</w:t>
            </w:r>
          </w:p>
          <w:p w14:paraId="7585202D">
            <w:pPr>
              <w:tabs>
                <w:tab w:val="left" w:pos="1069"/>
                <w:tab w:val="left" w:pos="2352"/>
                <w:tab w:val="center" w:pos="4483"/>
              </w:tabs>
              <w:adjustRightInd w:val="0"/>
              <w:spacing w:line="360" w:lineRule="auto"/>
              <w:ind w:firstLine="400"/>
              <w:rPr>
                <w:rFonts w:ascii="宋体" w:hAnsi="宋体" w:cs="宋体"/>
                <w:color w:val="auto"/>
                <w:szCs w:val="21"/>
                <w:highlight w:val="none"/>
                <w:u w:val="single"/>
              </w:rPr>
            </w:pPr>
            <w:r>
              <w:rPr>
                <w:rFonts w:hint="eastAsia" w:ascii="宋体" w:hAns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r>
              <w:rPr>
                <w:rFonts w:hint="eastAsia" w:ascii="宋体" w:hAnsi="宋体" w:cs="宋体"/>
                <w:color w:val="auto"/>
                <w:szCs w:val="21"/>
                <w:highlight w:val="none"/>
                <w:u w:val="single"/>
              </w:rPr>
              <w:t>（若无则说明无）。</w:t>
            </w:r>
          </w:p>
          <w:p w14:paraId="4E66B57E">
            <w:pPr>
              <w:tabs>
                <w:tab w:val="left" w:pos="1069"/>
                <w:tab w:val="left" w:pos="2352"/>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5、我单位符合本项目特定资格条件：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要求，并在《资格文件》中提供了相应的证明材料</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eastAsia="zh-CN"/>
              </w:rPr>
              <w:t>招标文件</w:t>
            </w:r>
            <w:r>
              <w:rPr>
                <w:rFonts w:hint="eastAsia" w:ascii="宋体" w:hAnsi="宋体" w:cs="宋体"/>
                <w:color w:val="auto"/>
                <w:szCs w:val="21"/>
                <w:highlight w:val="none"/>
                <w:u w:val="single"/>
              </w:rPr>
              <w:t>没有要求特定资格条件的，本条款空格处可以空白）</w:t>
            </w:r>
          </w:p>
          <w:p w14:paraId="5152F7E0">
            <w:pPr>
              <w:tabs>
                <w:tab w:val="left" w:pos="1069"/>
                <w:tab w:val="left" w:pos="2352"/>
                <w:tab w:val="center" w:pos="4483"/>
              </w:tabs>
              <w:adjustRightInd w:val="0"/>
              <w:spacing w:line="360" w:lineRule="auto"/>
              <w:ind w:firstLine="420" w:firstLineChars="200"/>
              <w:rPr>
                <w:rFonts w:ascii="宋体" w:hAnsi="宋体" w:cs="宋体"/>
                <w:color w:val="auto"/>
                <w:sz w:val="20"/>
                <w:highlight w:val="none"/>
              </w:rPr>
            </w:pPr>
            <w:r>
              <w:rPr>
                <w:rFonts w:hint="eastAsia" w:ascii="宋体" w:hAnsi="宋体" w:cs="宋体"/>
                <w:color w:val="auto"/>
                <w:szCs w:val="21"/>
                <w:highlight w:val="none"/>
              </w:rPr>
              <w:t>本公司所提交的本声明和陈述均是真实的、准确的。若与真实情况不符，本公司愿意承担由此而产生的一切后果。我方提供了全部能提供的资料和数据，我们同意遵照贵方要求出示有关证明文件。</w:t>
            </w:r>
          </w:p>
        </w:tc>
      </w:tr>
      <w:tr w14:paraId="727CD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noWrap w:val="0"/>
            <w:vAlign w:val="center"/>
          </w:tcPr>
          <w:p w14:paraId="75B367DA">
            <w:pPr>
              <w:pStyle w:val="19"/>
              <w:tabs>
                <w:tab w:val="left" w:pos="1069"/>
                <w:tab w:val="left" w:pos="2352"/>
              </w:tabs>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供应商名称（加盖盖章）：</w:t>
            </w:r>
          </w:p>
        </w:tc>
      </w:tr>
      <w:tr w14:paraId="4D6F4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noWrap w:val="0"/>
            <w:vAlign w:val="center"/>
          </w:tcPr>
          <w:p w14:paraId="771C4785">
            <w:pPr>
              <w:pStyle w:val="19"/>
              <w:tabs>
                <w:tab w:val="left" w:pos="1069"/>
                <w:tab w:val="left" w:pos="2352"/>
              </w:tabs>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法定代表人（签字或盖章）或授权代表（签字）：</w:t>
            </w:r>
          </w:p>
        </w:tc>
      </w:tr>
      <w:tr w14:paraId="0DA94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noWrap w:val="0"/>
            <w:vAlign w:val="center"/>
          </w:tcPr>
          <w:p w14:paraId="21F61E62">
            <w:pPr>
              <w:pStyle w:val="19"/>
              <w:tabs>
                <w:tab w:val="left" w:pos="1069"/>
                <w:tab w:val="left" w:pos="2352"/>
              </w:tabs>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签署日期：</w:t>
            </w:r>
          </w:p>
        </w:tc>
      </w:tr>
    </w:tbl>
    <w:p w14:paraId="04113011">
      <w:pPr>
        <w:tabs>
          <w:tab w:val="left" w:pos="1069"/>
          <w:tab w:val="left" w:pos="2352"/>
        </w:tabs>
        <w:spacing w:line="360" w:lineRule="exact"/>
        <w:jc w:val="left"/>
        <w:rPr>
          <w:rFonts w:ascii="宋体" w:hAnsi="宋体" w:cs="宋体"/>
          <w:bCs/>
          <w:color w:val="auto"/>
          <w:sz w:val="22"/>
          <w:highlight w:val="none"/>
          <w:u w:val="single"/>
        </w:rPr>
      </w:pPr>
    </w:p>
    <w:p w14:paraId="28E38ADB">
      <w:pPr>
        <w:tabs>
          <w:tab w:val="left" w:pos="1069"/>
          <w:tab w:val="left" w:pos="2352"/>
        </w:tabs>
        <w:spacing w:line="360" w:lineRule="exact"/>
        <w:jc w:val="left"/>
        <w:rPr>
          <w:rFonts w:ascii="宋体" w:hAnsi="宋体" w:cs="宋体"/>
          <w:bCs/>
          <w:color w:val="auto"/>
          <w:sz w:val="22"/>
          <w:highlight w:val="none"/>
          <w:u w:val="single"/>
        </w:rPr>
      </w:pPr>
      <w:r>
        <w:rPr>
          <w:rFonts w:hint="eastAsia" w:ascii="宋体" w:hAnsi="宋体" w:cs="宋体"/>
          <w:bCs/>
          <w:color w:val="auto"/>
          <w:sz w:val="22"/>
          <w:highlight w:val="none"/>
          <w:u w:val="single"/>
        </w:rPr>
        <w:t>备注：▲投标供应商必须按要求提供本声明，不提供按无效投标处理。</w:t>
      </w:r>
    </w:p>
    <w:p w14:paraId="074F0545">
      <w:pPr>
        <w:tabs>
          <w:tab w:val="left" w:pos="1069"/>
          <w:tab w:val="left" w:pos="2352"/>
        </w:tabs>
        <w:spacing w:line="360" w:lineRule="exact"/>
        <w:jc w:val="left"/>
        <w:rPr>
          <w:rFonts w:ascii="宋体" w:hAnsi="宋体" w:cs="宋体"/>
          <w:b/>
          <w:bCs/>
          <w:color w:val="auto"/>
          <w:sz w:val="32"/>
          <w:szCs w:val="32"/>
          <w:highlight w:val="none"/>
        </w:rPr>
      </w:pPr>
    </w:p>
    <w:p w14:paraId="1E62B800">
      <w:pPr>
        <w:tabs>
          <w:tab w:val="left" w:pos="1069"/>
          <w:tab w:val="left" w:pos="2352"/>
        </w:tabs>
        <w:spacing w:line="360" w:lineRule="exact"/>
        <w:jc w:val="left"/>
        <w:rPr>
          <w:rFonts w:ascii="宋体" w:hAnsi="宋体" w:cs="宋体"/>
          <w:b/>
          <w:bCs/>
          <w:color w:val="auto"/>
          <w:sz w:val="32"/>
          <w:szCs w:val="32"/>
          <w:highlight w:val="none"/>
        </w:rPr>
      </w:pPr>
    </w:p>
    <w:p w14:paraId="2B8FB922">
      <w:pPr>
        <w:tabs>
          <w:tab w:val="left" w:pos="1069"/>
          <w:tab w:val="left" w:pos="2352"/>
        </w:tabs>
        <w:spacing w:line="360" w:lineRule="exact"/>
        <w:jc w:val="left"/>
        <w:rPr>
          <w:rFonts w:hint="eastAsia" w:ascii="宋体" w:hAnsi="宋体" w:eastAsia="宋体" w:cs="宋体"/>
          <w:b/>
          <w:bCs/>
          <w:color w:val="auto"/>
          <w:sz w:val="32"/>
          <w:szCs w:val="32"/>
          <w:highlight w:val="none"/>
          <w:lang w:eastAsia="zh-CN"/>
        </w:rPr>
      </w:pPr>
    </w:p>
    <w:p w14:paraId="143DB0A0">
      <w:pPr>
        <w:pStyle w:val="14"/>
        <w:rPr>
          <w:rFonts w:hint="eastAsia"/>
          <w:lang w:eastAsia="zh-CN"/>
        </w:rPr>
      </w:pPr>
    </w:p>
    <w:p w14:paraId="56E2F34D">
      <w:pPr>
        <w:tabs>
          <w:tab w:val="left" w:pos="1069"/>
          <w:tab w:val="left" w:pos="2352"/>
        </w:tabs>
        <w:spacing w:line="360" w:lineRule="exact"/>
        <w:jc w:val="left"/>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十二</w:t>
      </w:r>
    </w:p>
    <w:p w14:paraId="24A5BEBD">
      <w:pPr>
        <w:tabs>
          <w:tab w:val="left" w:pos="1069"/>
          <w:tab w:val="left" w:pos="2352"/>
        </w:tabs>
        <w:jc w:val="center"/>
        <w:rPr>
          <w:rFonts w:ascii="宋体" w:hAnsi="宋体" w:cs="宋体"/>
          <w:color w:val="auto"/>
          <w:sz w:val="24"/>
          <w:highlight w:val="none"/>
        </w:rPr>
      </w:pPr>
      <w:bookmarkStart w:id="224" w:name="_Toc7010_WPSOffice_Level3"/>
      <w:r>
        <w:rPr>
          <w:rFonts w:hint="eastAsia" w:ascii="宋体" w:hAnsi="宋体" w:cs="宋体"/>
          <w:b/>
          <w:bCs/>
          <w:color w:val="auto"/>
          <w:sz w:val="32"/>
          <w:szCs w:val="32"/>
          <w:highlight w:val="none"/>
        </w:rPr>
        <w:t>法定代表人诚信投标承诺书</w:t>
      </w:r>
      <w:bookmarkEnd w:id="224"/>
    </w:p>
    <w:p w14:paraId="68F38318">
      <w:pPr>
        <w:tabs>
          <w:tab w:val="left" w:pos="1069"/>
          <w:tab w:val="left" w:pos="2352"/>
        </w:tabs>
        <w:spacing w:line="460" w:lineRule="atLeast"/>
        <w:jc w:val="left"/>
        <w:rPr>
          <w:rFonts w:ascii="宋体" w:hAnsi="宋体" w:cs="宋体"/>
          <w:color w:val="auto"/>
          <w:sz w:val="22"/>
          <w:highlight w:val="none"/>
        </w:rPr>
      </w:pPr>
      <w:r>
        <w:rPr>
          <w:rFonts w:hint="eastAsia" w:ascii="宋体" w:hAnsi="宋体" w:cs="宋体"/>
          <w:color w:val="auto"/>
          <w:sz w:val="22"/>
          <w:highlight w:val="none"/>
        </w:rPr>
        <w:t>本人以企业法定代表人的身份郑重承诺：</w:t>
      </w:r>
    </w:p>
    <w:p w14:paraId="049EC95B">
      <w:pPr>
        <w:tabs>
          <w:tab w:val="left" w:pos="1069"/>
          <w:tab w:val="left" w:pos="2352"/>
        </w:tabs>
        <w:spacing w:line="460" w:lineRule="atLeast"/>
        <w:ind w:firstLine="440" w:firstLineChars="200"/>
        <w:jc w:val="left"/>
        <w:rPr>
          <w:rFonts w:ascii="宋体" w:hAnsi="宋体" w:cs="宋体"/>
          <w:color w:val="auto"/>
          <w:sz w:val="22"/>
          <w:highlight w:val="none"/>
        </w:rPr>
      </w:pPr>
      <w:r>
        <w:rPr>
          <w:rFonts w:hint="eastAsia" w:ascii="宋体" w:hAnsi="宋体" w:cs="宋体"/>
          <w:color w:val="auto"/>
          <w:sz w:val="22"/>
          <w:highlight w:val="none"/>
        </w:rPr>
        <w:t>将遵循公开、公平、公正和诚信信用的原则参加</w:t>
      </w:r>
      <w:r>
        <w:rPr>
          <w:rFonts w:hint="eastAsia" w:ascii="宋体" w:hAnsi="宋体" w:cs="宋体"/>
          <w:color w:val="auto"/>
          <w:sz w:val="22"/>
          <w:highlight w:val="none"/>
          <w:u w:val="single"/>
          <w:lang w:eastAsia="zh-CN"/>
        </w:rPr>
        <w:t>龟湖镇水厂备用水源工程设备采购</w:t>
      </w:r>
      <w:r>
        <w:rPr>
          <w:rFonts w:hint="eastAsia" w:ascii="宋体" w:hAnsi="宋体" w:cs="宋体"/>
          <w:color w:val="auto"/>
          <w:sz w:val="22"/>
          <w:highlight w:val="none"/>
          <w:u w:val="single"/>
        </w:rPr>
        <w:t>（采购编号：</w:t>
      </w:r>
      <w:r>
        <w:rPr>
          <w:rFonts w:hint="eastAsia" w:ascii="宋体" w:hAnsi="宋体" w:cs="宋体"/>
          <w:color w:val="auto"/>
          <w:sz w:val="22"/>
          <w:highlight w:val="none"/>
          <w:u w:val="single"/>
          <w:lang w:eastAsia="zh-CN"/>
        </w:rPr>
        <w:t>TSCG202601002</w:t>
      </w:r>
      <w:r>
        <w:rPr>
          <w:rFonts w:hint="eastAsia" w:ascii="宋体" w:hAnsi="宋体" w:cs="宋体"/>
          <w:color w:val="auto"/>
          <w:sz w:val="22"/>
          <w:highlight w:val="none"/>
          <w:u w:val="single"/>
        </w:rPr>
        <w:t>）</w:t>
      </w:r>
      <w:r>
        <w:rPr>
          <w:rFonts w:hint="eastAsia" w:ascii="宋体" w:hAnsi="宋体" w:cs="宋体"/>
          <w:color w:val="auto"/>
          <w:sz w:val="22"/>
          <w:highlight w:val="none"/>
        </w:rPr>
        <w:t>的投标；</w:t>
      </w:r>
    </w:p>
    <w:p w14:paraId="2058BE1C">
      <w:pPr>
        <w:tabs>
          <w:tab w:val="left" w:pos="1069"/>
          <w:tab w:val="left" w:pos="2352"/>
        </w:tabs>
        <w:spacing w:line="460" w:lineRule="atLeast"/>
        <w:ind w:firstLine="440" w:firstLineChars="200"/>
        <w:jc w:val="left"/>
        <w:rPr>
          <w:rFonts w:ascii="宋体" w:hAnsi="宋体" w:cs="宋体"/>
          <w:color w:val="auto"/>
          <w:sz w:val="22"/>
          <w:highlight w:val="none"/>
          <w:u w:val="single"/>
        </w:rPr>
      </w:pPr>
      <w:r>
        <w:rPr>
          <w:rFonts w:hint="eastAsia" w:ascii="宋体" w:hAnsi="宋体" w:cs="宋体"/>
          <w:color w:val="auto"/>
          <w:sz w:val="22"/>
          <w:highlight w:val="none"/>
        </w:rPr>
        <w:t>一、杜绝以收取管理费等形式的一切挂靠、违法转包、分包行为；并选派有丰富经验、无不良行为记录的在项目管理人员、技术人员，严格按</w:t>
      </w:r>
      <w:r>
        <w:rPr>
          <w:rFonts w:hint="eastAsia" w:ascii="宋体" w:hAnsi="宋体" w:cs="宋体"/>
          <w:color w:val="auto"/>
          <w:sz w:val="22"/>
          <w:highlight w:val="none"/>
          <w:lang w:eastAsia="zh-CN"/>
        </w:rPr>
        <w:t>招标文件</w:t>
      </w:r>
      <w:r>
        <w:rPr>
          <w:rFonts w:hint="eastAsia" w:ascii="宋体" w:hAnsi="宋体" w:cs="宋体"/>
          <w:color w:val="auto"/>
          <w:sz w:val="22"/>
          <w:highlight w:val="none"/>
        </w:rPr>
        <w:t>、投标（响应）文件及合同等要求保证拟派人员的到岗率。</w:t>
      </w:r>
    </w:p>
    <w:p w14:paraId="122B83C7">
      <w:pPr>
        <w:tabs>
          <w:tab w:val="left" w:pos="1069"/>
          <w:tab w:val="left" w:pos="2352"/>
        </w:tabs>
        <w:spacing w:line="460" w:lineRule="atLeast"/>
        <w:ind w:firstLine="440" w:firstLineChars="200"/>
        <w:jc w:val="left"/>
        <w:rPr>
          <w:rFonts w:ascii="宋体" w:hAnsi="宋体" w:cs="宋体"/>
          <w:color w:val="auto"/>
          <w:sz w:val="22"/>
          <w:highlight w:val="none"/>
        </w:rPr>
      </w:pPr>
      <w:r>
        <w:rPr>
          <w:rFonts w:hint="eastAsia" w:ascii="宋体" w:hAnsi="宋体" w:cs="宋体"/>
          <w:color w:val="auto"/>
          <w:sz w:val="22"/>
          <w:highlight w:val="none"/>
        </w:rPr>
        <w:t>二、投标（响应）文件所提供的一切材料都是真实、有效、合法的。</w:t>
      </w:r>
    </w:p>
    <w:p w14:paraId="71EAD0C4">
      <w:pPr>
        <w:tabs>
          <w:tab w:val="left" w:pos="1069"/>
          <w:tab w:val="left" w:pos="2352"/>
        </w:tabs>
        <w:spacing w:line="460" w:lineRule="atLeast"/>
        <w:ind w:firstLine="440" w:firstLineChars="200"/>
        <w:jc w:val="left"/>
        <w:rPr>
          <w:rFonts w:ascii="宋体" w:hAnsi="宋体" w:cs="宋体"/>
          <w:color w:val="auto"/>
          <w:sz w:val="22"/>
          <w:highlight w:val="none"/>
        </w:rPr>
      </w:pPr>
      <w:r>
        <w:rPr>
          <w:rFonts w:hint="eastAsia" w:ascii="宋体" w:hAnsi="宋体" w:cs="宋体"/>
          <w:color w:val="auto"/>
          <w:sz w:val="22"/>
          <w:highlight w:val="none"/>
        </w:rPr>
        <w:t>三、不与其他投标人相互串通投标报价，不排挤其他投标人的公平竞争，不损害招标人或其他投标人的合法权益。</w:t>
      </w:r>
    </w:p>
    <w:p w14:paraId="2FCA7730">
      <w:pPr>
        <w:tabs>
          <w:tab w:val="left" w:pos="1069"/>
          <w:tab w:val="left" w:pos="2352"/>
        </w:tabs>
        <w:spacing w:line="460" w:lineRule="atLeast"/>
        <w:ind w:firstLine="440" w:firstLineChars="200"/>
        <w:jc w:val="left"/>
        <w:rPr>
          <w:rFonts w:ascii="宋体" w:hAnsi="宋体" w:cs="宋体"/>
          <w:color w:val="auto"/>
          <w:sz w:val="22"/>
          <w:highlight w:val="none"/>
        </w:rPr>
      </w:pPr>
      <w:r>
        <w:rPr>
          <w:rFonts w:hint="eastAsia" w:ascii="宋体" w:hAnsi="宋体" w:cs="宋体"/>
          <w:color w:val="auto"/>
          <w:sz w:val="22"/>
          <w:highlight w:val="none"/>
        </w:rPr>
        <w:t>四、不与采购人或招标代理机构串通投标，不损害国家利益，社会公共利益或其他人的合法权益。</w:t>
      </w:r>
    </w:p>
    <w:p w14:paraId="6BA27B30">
      <w:pPr>
        <w:tabs>
          <w:tab w:val="left" w:pos="1069"/>
          <w:tab w:val="left" w:pos="2352"/>
        </w:tabs>
        <w:spacing w:line="460" w:lineRule="atLeast"/>
        <w:ind w:firstLine="440" w:firstLineChars="200"/>
        <w:jc w:val="left"/>
        <w:rPr>
          <w:rFonts w:ascii="宋体" w:hAnsi="宋体" w:cs="宋体"/>
          <w:color w:val="auto"/>
          <w:sz w:val="22"/>
          <w:highlight w:val="none"/>
        </w:rPr>
      </w:pPr>
      <w:r>
        <w:rPr>
          <w:rFonts w:hint="eastAsia" w:ascii="宋体" w:hAnsi="宋体" w:cs="宋体"/>
          <w:color w:val="auto"/>
          <w:sz w:val="22"/>
          <w:highlight w:val="none"/>
        </w:rPr>
        <w:t>五、不向采购人或者评审小组成员行贿以牟取中标(成交)。</w:t>
      </w:r>
    </w:p>
    <w:p w14:paraId="7C42614C">
      <w:pPr>
        <w:tabs>
          <w:tab w:val="left" w:pos="1069"/>
          <w:tab w:val="left" w:pos="2352"/>
        </w:tabs>
        <w:spacing w:line="460" w:lineRule="atLeast"/>
        <w:ind w:firstLine="440" w:firstLineChars="200"/>
        <w:jc w:val="left"/>
        <w:rPr>
          <w:rFonts w:ascii="宋体" w:hAnsi="宋体" w:cs="宋体"/>
          <w:color w:val="auto"/>
          <w:sz w:val="22"/>
          <w:highlight w:val="none"/>
        </w:rPr>
      </w:pPr>
      <w:r>
        <w:rPr>
          <w:rFonts w:hint="eastAsia" w:ascii="宋体" w:hAnsi="宋体" w:cs="宋体"/>
          <w:color w:val="auto"/>
          <w:sz w:val="22"/>
          <w:highlight w:val="none"/>
        </w:rPr>
        <w:t>六、不以其他人名义投标或者以其他方式弄虚作假，骗取中标(成交)。</w:t>
      </w:r>
    </w:p>
    <w:p w14:paraId="03E0F737">
      <w:pPr>
        <w:tabs>
          <w:tab w:val="left" w:pos="1069"/>
          <w:tab w:val="left" w:pos="2352"/>
        </w:tabs>
        <w:spacing w:line="460" w:lineRule="atLeast"/>
        <w:ind w:firstLine="440" w:firstLineChars="200"/>
        <w:jc w:val="left"/>
        <w:rPr>
          <w:rFonts w:ascii="宋体" w:hAnsi="宋体" w:cs="宋体"/>
          <w:color w:val="auto"/>
          <w:sz w:val="22"/>
          <w:highlight w:val="none"/>
        </w:rPr>
      </w:pPr>
      <w:r>
        <w:rPr>
          <w:rFonts w:hint="eastAsia" w:ascii="宋体" w:hAnsi="宋体" w:cs="宋体"/>
          <w:color w:val="auto"/>
          <w:sz w:val="22"/>
          <w:highlight w:val="none"/>
        </w:rPr>
        <w:t>七、不在开标后进行虚假恶意投诉。</w:t>
      </w:r>
    </w:p>
    <w:p w14:paraId="0859C731">
      <w:pPr>
        <w:tabs>
          <w:tab w:val="left" w:pos="1069"/>
          <w:tab w:val="left" w:pos="2352"/>
        </w:tabs>
        <w:spacing w:line="460" w:lineRule="atLeast"/>
        <w:ind w:firstLine="440" w:firstLineChars="200"/>
        <w:jc w:val="left"/>
        <w:rPr>
          <w:rFonts w:ascii="宋体" w:hAnsi="宋体" w:cs="宋体"/>
          <w:color w:val="auto"/>
          <w:sz w:val="22"/>
          <w:highlight w:val="none"/>
        </w:rPr>
      </w:pPr>
      <w:r>
        <w:rPr>
          <w:rFonts w:hint="eastAsia" w:ascii="宋体" w:hAnsi="宋体" w:cs="宋体"/>
          <w:color w:val="auto"/>
          <w:sz w:val="22"/>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17664367">
      <w:pPr>
        <w:tabs>
          <w:tab w:val="left" w:pos="1069"/>
          <w:tab w:val="left" w:pos="2352"/>
        </w:tabs>
        <w:spacing w:line="460" w:lineRule="atLeast"/>
        <w:ind w:firstLine="440" w:firstLineChars="200"/>
        <w:jc w:val="left"/>
        <w:rPr>
          <w:rFonts w:ascii="宋体" w:hAnsi="宋体" w:cs="宋体"/>
          <w:color w:val="auto"/>
          <w:sz w:val="22"/>
          <w:highlight w:val="none"/>
        </w:rPr>
      </w:pPr>
      <w:r>
        <w:rPr>
          <w:rFonts w:hint="eastAsia" w:ascii="宋体" w:hAnsi="宋体" w:cs="宋体"/>
          <w:color w:val="auto"/>
          <w:sz w:val="22"/>
          <w:highlight w:val="none"/>
        </w:rPr>
        <w:t>九、没有被各地、各级财政部门禁止参加政府采购活动，且在限制期限内：</w:t>
      </w:r>
    </w:p>
    <w:p w14:paraId="1185679E">
      <w:pPr>
        <w:tabs>
          <w:tab w:val="left" w:pos="1069"/>
          <w:tab w:val="left" w:pos="2352"/>
        </w:tabs>
        <w:spacing w:line="460" w:lineRule="atLeast"/>
        <w:ind w:firstLine="440" w:firstLineChars="200"/>
        <w:jc w:val="left"/>
        <w:rPr>
          <w:rFonts w:ascii="宋体" w:hAnsi="宋体" w:cs="宋体"/>
          <w:color w:val="auto"/>
          <w:sz w:val="22"/>
          <w:highlight w:val="none"/>
        </w:rPr>
      </w:pPr>
      <w:r>
        <w:rPr>
          <w:rFonts w:hint="eastAsia" w:ascii="宋体" w:hAnsi="宋体" w:cs="宋体"/>
          <w:color w:val="auto"/>
          <w:sz w:val="22"/>
          <w:highlight w:val="none"/>
        </w:rPr>
        <w:t>十、参与本项目政府采购活动3年内没有重大违法记录情况。</w:t>
      </w:r>
    </w:p>
    <w:p w14:paraId="657B5D2F">
      <w:pPr>
        <w:tabs>
          <w:tab w:val="left" w:pos="1069"/>
          <w:tab w:val="left" w:pos="2352"/>
        </w:tabs>
        <w:spacing w:line="460" w:lineRule="atLeast"/>
        <w:ind w:firstLine="440" w:firstLineChars="200"/>
        <w:rPr>
          <w:rFonts w:ascii="宋体" w:hAnsi="宋体" w:cs="宋体"/>
          <w:color w:val="auto"/>
          <w:sz w:val="22"/>
          <w:highlight w:val="none"/>
        </w:rPr>
      </w:pPr>
      <w:r>
        <w:rPr>
          <w:rFonts w:hint="eastAsia" w:ascii="宋体" w:hAnsi="宋体" w:cs="宋体"/>
          <w:color w:val="auto"/>
          <w:sz w:val="22"/>
          <w:highlight w:val="none"/>
        </w:rPr>
        <w:t>本公司若有违反本承诺内容的行为，愿意承担法律责任，包括不限于：愿意接受相关行政主管部门作出的处罚；给采购人造成损失的，依法承担相应的赔偿责任。</w:t>
      </w:r>
    </w:p>
    <w:p w14:paraId="18E36328">
      <w:pPr>
        <w:tabs>
          <w:tab w:val="left" w:pos="1069"/>
          <w:tab w:val="left" w:pos="2352"/>
        </w:tabs>
        <w:spacing w:line="460" w:lineRule="atLeast"/>
        <w:ind w:right="1120" w:firstLine="2982" w:firstLineChars="1350"/>
        <w:rPr>
          <w:rFonts w:ascii="宋体" w:hAnsi="宋体" w:cs="宋体"/>
          <w:color w:val="auto"/>
          <w:sz w:val="22"/>
          <w:highlight w:val="none"/>
        </w:rPr>
      </w:pPr>
      <w:r>
        <w:rPr>
          <w:rFonts w:hint="eastAsia" w:ascii="宋体" w:hAnsi="宋体" w:cs="宋体"/>
          <w:b/>
          <w:bCs/>
          <w:color w:val="auto"/>
          <w:sz w:val="22"/>
          <w:highlight w:val="none"/>
        </w:rPr>
        <w:t>法定代表人（签字或签章）</w:t>
      </w:r>
      <w:r>
        <w:rPr>
          <w:rFonts w:hint="eastAsia" w:ascii="宋体" w:hAnsi="宋体" w:cs="宋体"/>
          <w:color w:val="auto"/>
          <w:sz w:val="22"/>
          <w:highlight w:val="none"/>
        </w:rPr>
        <w:t>：</w:t>
      </w:r>
    </w:p>
    <w:p w14:paraId="72EA8B09">
      <w:pPr>
        <w:tabs>
          <w:tab w:val="left" w:pos="1069"/>
          <w:tab w:val="left" w:pos="2352"/>
        </w:tabs>
        <w:spacing w:line="460" w:lineRule="atLeast"/>
        <w:ind w:right="1120" w:firstLine="2970" w:firstLineChars="1350"/>
        <w:rPr>
          <w:rFonts w:ascii="宋体" w:hAnsi="宋体" w:cs="宋体"/>
          <w:color w:val="auto"/>
          <w:sz w:val="22"/>
          <w:highlight w:val="none"/>
        </w:rPr>
      </w:pPr>
      <w:r>
        <w:rPr>
          <w:rFonts w:hint="eastAsia" w:ascii="宋体" w:hAnsi="宋体" w:cs="宋体"/>
          <w:color w:val="auto"/>
          <w:sz w:val="22"/>
          <w:highlight w:val="none"/>
        </w:rPr>
        <w:t>投标供应商（盖章）</w:t>
      </w:r>
    </w:p>
    <w:p w14:paraId="70E929C9">
      <w:pPr>
        <w:tabs>
          <w:tab w:val="left" w:pos="1069"/>
          <w:tab w:val="left" w:pos="2352"/>
        </w:tabs>
        <w:spacing w:line="460" w:lineRule="atLeast"/>
        <w:ind w:right="1120" w:firstLine="3080" w:firstLineChars="1400"/>
        <w:rPr>
          <w:rFonts w:ascii="宋体" w:hAnsi="宋体" w:cs="宋体"/>
          <w:color w:val="auto"/>
          <w:szCs w:val="21"/>
          <w:highlight w:val="none"/>
        </w:rPr>
      </w:pPr>
      <w:r>
        <w:rPr>
          <w:rFonts w:hint="eastAsia" w:ascii="宋体" w:hAnsi="宋体" w:cs="宋体"/>
          <w:color w:val="auto"/>
          <w:sz w:val="22"/>
          <w:highlight w:val="none"/>
        </w:rPr>
        <w:t>承诺书签署日期：年月日</w:t>
      </w:r>
    </w:p>
    <w:p w14:paraId="1CADB14C">
      <w:pPr>
        <w:tabs>
          <w:tab w:val="left" w:pos="1069"/>
          <w:tab w:val="left" w:pos="2352"/>
        </w:tabs>
        <w:spacing w:line="360" w:lineRule="exact"/>
        <w:jc w:val="left"/>
        <w:rPr>
          <w:rFonts w:ascii="宋体" w:hAnsi="宋体" w:cs="宋体"/>
          <w:color w:val="auto"/>
          <w:sz w:val="30"/>
          <w:highlight w:val="none"/>
        </w:rPr>
      </w:pPr>
      <w:r>
        <w:rPr>
          <w:rFonts w:hint="eastAsia" w:ascii="宋体" w:hAnsi="宋体" w:cs="宋体"/>
          <w:bCs/>
          <w:color w:val="auto"/>
          <w:sz w:val="22"/>
          <w:highlight w:val="none"/>
          <w:u w:val="single"/>
        </w:rPr>
        <w:t>备注：▲投标供应商必须提供本承诺书，不提供按无效投标处理。</w:t>
      </w:r>
    </w:p>
    <w:p w14:paraId="70031C5C">
      <w:pPr>
        <w:pStyle w:val="19"/>
        <w:tabs>
          <w:tab w:val="left" w:pos="1069"/>
          <w:tab w:val="left" w:pos="2352"/>
        </w:tabs>
        <w:spacing w:line="360" w:lineRule="exact"/>
        <w:jc w:val="center"/>
        <w:rPr>
          <w:rFonts w:hAnsi="宋体" w:cs="宋体"/>
          <w:color w:val="auto"/>
          <w:sz w:val="32"/>
          <w:highlight w:val="none"/>
        </w:rPr>
      </w:pPr>
    </w:p>
    <w:p w14:paraId="69AC8809">
      <w:pPr>
        <w:tabs>
          <w:tab w:val="left" w:pos="1069"/>
          <w:tab w:val="left" w:pos="2352"/>
        </w:tabs>
        <w:spacing w:line="360" w:lineRule="exact"/>
        <w:jc w:val="left"/>
        <w:rPr>
          <w:rFonts w:ascii="宋体" w:hAnsi="宋体" w:cs="宋体"/>
          <w:color w:val="auto"/>
          <w:sz w:val="30"/>
          <w:highlight w:val="none"/>
        </w:rPr>
      </w:pPr>
    </w:p>
    <w:p w14:paraId="4D3EFB91">
      <w:pPr>
        <w:pStyle w:val="19"/>
        <w:tabs>
          <w:tab w:val="left" w:pos="1069"/>
          <w:tab w:val="left" w:pos="2352"/>
        </w:tabs>
        <w:spacing w:line="360" w:lineRule="exact"/>
        <w:jc w:val="left"/>
        <w:rPr>
          <w:rFonts w:hAnsi="宋体" w:cs="宋体"/>
          <w:b/>
          <w:bCs/>
          <w:color w:val="auto"/>
          <w:sz w:val="32"/>
          <w:highlight w:val="none"/>
          <w:lang w:val="zh-CN"/>
        </w:rPr>
      </w:pPr>
    </w:p>
    <w:p w14:paraId="52B730C7">
      <w:pPr>
        <w:tabs>
          <w:tab w:val="left" w:pos="2352"/>
        </w:tabs>
        <w:rPr>
          <w:color w:val="auto"/>
          <w:highlight w:val="none"/>
          <w:lang w:val="zh-CN"/>
        </w:rPr>
      </w:pPr>
    </w:p>
    <w:p w14:paraId="0474E9DE">
      <w:pPr>
        <w:pStyle w:val="14"/>
        <w:rPr>
          <w:color w:val="auto"/>
          <w:highlight w:val="none"/>
          <w:lang w:val="zh-CN"/>
        </w:rPr>
      </w:pPr>
    </w:p>
    <w:p w14:paraId="2FA98607">
      <w:pPr>
        <w:pStyle w:val="15"/>
        <w:rPr>
          <w:lang w:val="zh-CN"/>
        </w:rPr>
      </w:pPr>
    </w:p>
    <w:p w14:paraId="12B421C5">
      <w:pPr>
        <w:pStyle w:val="19"/>
        <w:tabs>
          <w:tab w:val="left" w:pos="1069"/>
          <w:tab w:val="left" w:pos="2352"/>
        </w:tabs>
        <w:spacing w:line="360" w:lineRule="exact"/>
        <w:jc w:val="left"/>
        <w:rPr>
          <w:rFonts w:hint="eastAsia" w:hAnsi="宋体" w:eastAsia="宋体" w:cs="宋体"/>
          <w:b/>
          <w:bCs/>
          <w:color w:val="auto"/>
          <w:sz w:val="32"/>
          <w:highlight w:val="none"/>
          <w:lang w:eastAsia="zh-CN"/>
        </w:rPr>
      </w:pPr>
      <w:r>
        <w:rPr>
          <w:rFonts w:hint="eastAsia" w:hAnsi="宋体" w:cs="宋体"/>
          <w:b/>
          <w:bCs/>
          <w:color w:val="auto"/>
          <w:sz w:val="32"/>
          <w:highlight w:val="none"/>
          <w:lang w:val="zh-CN"/>
        </w:rPr>
        <w:t>附件</w:t>
      </w:r>
      <w:r>
        <w:rPr>
          <w:rFonts w:hint="eastAsia" w:hAnsi="宋体" w:cs="宋体"/>
          <w:b/>
          <w:bCs/>
          <w:color w:val="auto"/>
          <w:sz w:val="32"/>
          <w:highlight w:val="none"/>
          <w:lang w:val="en-US" w:eastAsia="zh-CN"/>
        </w:rPr>
        <w:t>十三</w:t>
      </w:r>
    </w:p>
    <w:p w14:paraId="71D0A7B8">
      <w:pPr>
        <w:pStyle w:val="19"/>
        <w:tabs>
          <w:tab w:val="left" w:pos="1069"/>
          <w:tab w:val="left" w:pos="2352"/>
        </w:tabs>
        <w:spacing w:line="360" w:lineRule="exact"/>
        <w:jc w:val="center"/>
        <w:rPr>
          <w:rFonts w:hAnsi="宋体" w:cs="宋体"/>
          <w:b/>
          <w:bCs/>
          <w:color w:val="auto"/>
          <w:sz w:val="32"/>
          <w:highlight w:val="none"/>
          <w:lang w:val="zh-CN"/>
        </w:rPr>
      </w:pPr>
      <w:bookmarkStart w:id="225" w:name="_Toc18541_WPSOffice_Level3"/>
      <w:r>
        <w:rPr>
          <w:rFonts w:hint="eastAsia" w:hAnsi="宋体" w:cs="宋体"/>
          <w:b/>
          <w:bCs/>
          <w:color w:val="auto"/>
          <w:sz w:val="32"/>
          <w:highlight w:val="none"/>
          <w:lang w:val="zh-CN"/>
        </w:rPr>
        <w:t>（一）商务偏离表</w:t>
      </w:r>
      <w:bookmarkEnd w:id="225"/>
    </w:p>
    <w:p w14:paraId="3ACD5608">
      <w:pPr>
        <w:tabs>
          <w:tab w:val="left" w:pos="1069"/>
          <w:tab w:val="left" w:pos="2352"/>
        </w:tabs>
        <w:autoSpaceDE w:val="0"/>
        <w:autoSpaceDN w:val="0"/>
        <w:adjustRightInd w:val="0"/>
        <w:spacing w:line="360" w:lineRule="exact"/>
        <w:jc w:val="center"/>
        <w:rPr>
          <w:rFonts w:ascii="宋体" w:hAnsi="宋体" w:cs="宋体"/>
          <w:color w:val="auto"/>
          <w:sz w:val="32"/>
          <w:highlight w:val="none"/>
          <w:lang w:val="zh-CN"/>
        </w:rPr>
      </w:pPr>
    </w:p>
    <w:tbl>
      <w:tblPr>
        <w:tblStyle w:val="38"/>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07343340">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14:paraId="6212767C">
            <w:pPr>
              <w:tabs>
                <w:tab w:val="left" w:pos="1069"/>
                <w:tab w:val="left" w:pos="2352"/>
              </w:tabs>
              <w:autoSpaceDE w:val="0"/>
              <w:autoSpaceDN w:val="0"/>
              <w:adjustRightInd w:val="0"/>
              <w:spacing w:line="360" w:lineRule="exact"/>
              <w:rPr>
                <w:rFonts w:ascii="宋体" w:hAnsi="宋体" w:cs="宋体"/>
                <w:color w:val="auto"/>
                <w:sz w:val="24"/>
                <w:highlight w:val="none"/>
              </w:rPr>
            </w:pPr>
            <w:r>
              <w:rPr>
                <w:rFonts w:hint="eastAsia" w:ascii="宋体" w:hAns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noWrap w:val="0"/>
            <w:vAlign w:val="center"/>
          </w:tcPr>
          <w:p w14:paraId="3135F781">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noWrap w:val="0"/>
            <w:vAlign w:val="center"/>
          </w:tcPr>
          <w:p w14:paraId="6C9A3E89">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noWrap w:val="0"/>
            <w:vAlign w:val="center"/>
          </w:tcPr>
          <w:p w14:paraId="776F7202">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投标（响应）文件</w:t>
            </w:r>
          </w:p>
          <w:p w14:paraId="35F3B315">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对应规范</w:t>
            </w:r>
          </w:p>
        </w:tc>
        <w:tc>
          <w:tcPr>
            <w:tcW w:w="2295" w:type="dxa"/>
            <w:tcBorders>
              <w:top w:val="single" w:color="auto" w:sz="6" w:space="0"/>
              <w:left w:val="single" w:color="auto" w:sz="6" w:space="0"/>
              <w:bottom w:val="single" w:color="auto" w:sz="6" w:space="0"/>
              <w:right w:val="single" w:color="auto" w:sz="6" w:space="0"/>
            </w:tcBorders>
            <w:noWrap w:val="0"/>
            <w:vAlign w:val="center"/>
          </w:tcPr>
          <w:p w14:paraId="0248E250">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备注</w:t>
            </w:r>
          </w:p>
        </w:tc>
      </w:tr>
      <w:tr w14:paraId="77443905">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26F2FB00">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7EB3C9B5">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52BDE4E8">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66B87FDF">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587243F5">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50F5EF5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4E0BAAB4">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33223399">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247EA091">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5B80783C">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59F4F152">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7AA9953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79EE7B09">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38D8CBFF">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3F5B2DEB">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0FA4C195">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04C275A9">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3A3793F5">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54DC708D">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59DA05BE">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55E572C7">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2FE3A4B6">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27CE0AC8">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517A4FAA">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5592B36E">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06D8557A">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6352DD65">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75AB8FF8">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3D13A11D">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0B4AAADA">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680E27F7">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22B22AA5">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050FB0A0">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40AE19AA">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17F13B5B">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67260CE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18D81801">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0962C4B6">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02731D62">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53CCAFE4">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594CA96E">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6D3EA33D">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3BBD785A">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04F00551">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333990A9">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72591311">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2E638BF1">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6EEDFCF7">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5C3EECDE">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413A80DF">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3CC11AF4">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70A32610">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5F07FB20">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bl>
    <w:p w14:paraId="3AADB430">
      <w:pPr>
        <w:tabs>
          <w:tab w:val="left" w:pos="1069"/>
          <w:tab w:val="left" w:pos="2352"/>
        </w:tabs>
        <w:autoSpaceDE w:val="0"/>
        <w:autoSpaceDN w:val="0"/>
        <w:adjustRightInd w:val="0"/>
        <w:spacing w:line="360" w:lineRule="exact"/>
        <w:rPr>
          <w:rFonts w:ascii="宋体" w:hAnsi="宋体" w:cs="宋体"/>
          <w:color w:val="auto"/>
          <w:sz w:val="24"/>
          <w:highlight w:val="none"/>
          <w:lang w:val="zh-CN"/>
        </w:rPr>
      </w:pPr>
      <w:r>
        <w:rPr>
          <w:rFonts w:hint="eastAsia" w:ascii="宋体" w:hAnsi="宋体" w:cs="宋体"/>
          <w:color w:val="auto"/>
          <w:sz w:val="24"/>
          <w:highlight w:val="none"/>
          <w:lang w:val="zh-CN"/>
        </w:rPr>
        <w:t>供应商盖章：</w:t>
      </w:r>
    </w:p>
    <w:p w14:paraId="1E7D5856">
      <w:pPr>
        <w:tabs>
          <w:tab w:val="left" w:pos="1069"/>
          <w:tab w:val="left" w:pos="2352"/>
        </w:tabs>
        <w:autoSpaceDE w:val="0"/>
        <w:autoSpaceDN w:val="0"/>
        <w:adjustRightInd w:val="0"/>
        <w:spacing w:line="360" w:lineRule="exact"/>
        <w:rPr>
          <w:rFonts w:ascii="宋体" w:hAnsi="宋体" w:cs="宋体"/>
          <w:color w:val="auto"/>
          <w:sz w:val="32"/>
          <w:highlight w:val="none"/>
          <w:lang w:val="zh-CN"/>
        </w:rPr>
      </w:pPr>
    </w:p>
    <w:p w14:paraId="5A1EBA74">
      <w:pPr>
        <w:pStyle w:val="19"/>
        <w:tabs>
          <w:tab w:val="left" w:pos="1069"/>
          <w:tab w:val="left" w:pos="2352"/>
        </w:tabs>
        <w:spacing w:line="360" w:lineRule="exact"/>
        <w:jc w:val="center"/>
        <w:rPr>
          <w:rFonts w:hAnsi="宋体" w:cs="宋体"/>
          <w:b/>
          <w:bCs/>
          <w:color w:val="auto"/>
          <w:sz w:val="32"/>
          <w:highlight w:val="none"/>
          <w:lang w:val="zh-CN"/>
        </w:rPr>
      </w:pPr>
      <w:bookmarkStart w:id="226" w:name="_Toc4031_WPSOffice_Level3"/>
      <w:r>
        <w:rPr>
          <w:rFonts w:hint="eastAsia" w:hAnsi="宋体" w:cs="宋体"/>
          <w:b/>
          <w:bCs/>
          <w:color w:val="auto"/>
          <w:sz w:val="32"/>
          <w:highlight w:val="none"/>
          <w:lang w:val="zh-CN"/>
        </w:rPr>
        <w:t>（二）技术偏离表</w:t>
      </w:r>
      <w:bookmarkEnd w:id="226"/>
    </w:p>
    <w:tbl>
      <w:tblPr>
        <w:tblStyle w:val="38"/>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1DDE0AAA">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14:paraId="3F9D9823">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noWrap w:val="0"/>
            <w:vAlign w:val="center"/>
          </w:tcPr>
          <w:p w14:paraId="44AF81C6">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noWrap w:val="0"/>
            <w:vAlign w:val="center"/>
          </w:tcPr>
          <w:p w14:paraId="254CE8E7">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noWrap w:val="0"/>
            <w:vAlign w:val="center"/>
          </w:tcPr>
          <w:p w14:paraId="09FE41F1">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投标（响应）文件</w:t>
            </w:r>
          </w:p>
          <w:p w14:paraId="0D1D49E5">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对应规范</w:t>
            </w:r>
          </w:p>
        </w:tc>
        <w:tc>
          <w:tcPr>
            <w:tcW w:w="2295" w:type="dxa"/>
            <w:tcBorders>
              <w:top w:val="single" w:color="auto" w:sz="6" w:space="0"/>
              <w:left w:val="single" w:color="auto" w:sz="6" w:space="0"/>
              <w:bottom w:val="single" w:color="auto" w:sz="6" w:space="0"/>
              <w:right w:val="single" w:color="auto" w:sz="6" w:space="0"/>
            </w:tcBorders>
            <w:noWrap w:val="0"/>
            <w:vAlign w:val="center"/>
          </w:tcPr>
          <w:p w14:paraId="1057AA33">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备注</w:t>
            </w:r>
          </w:p>
        </w:tc>
      </w:tr>
      <w:tr w14:paraId="217A04A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38549BB1">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616C966E">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767F3A0B">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19732D96">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141E919B">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652AE03C">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07CEB222">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735F7A68">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5AF26694">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2A0B49FA">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6F7CE182">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1B48251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6565B9E5">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281BBCFB">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608999BA">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302F878A">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673C8EF6">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64C9DE8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448ABBCF">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35D44B52">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4D91EDA7">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3133E5C8">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35BDE89A">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1EE52F6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569713B6">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301D9DAB">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1E17AD08">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799CFF14">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12371D9B">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4F35C49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160C98F2">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76740992">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369EE826">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625E6053">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44BFB535">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4D570C2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01B97791">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4C27976B">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5B57745D">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794DF032">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515B6FD4">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0D2D318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7391999D">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192D0F37">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56030035">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2EAA80CA">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29D7F90D">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184BADA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47DABA9B">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6BC90738">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54ADD21B">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06108EC9">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5294F1DA">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bl>
    <w:p w14:paraId="05A0F1C2">
      <w:pPr>
        <w:tabs>
          <w:tab w:val="left" w:pos="1069"/>
          <w:tab w:val="left" w:pos="2352"/>
        </w:tabs>
        <w:spacing w:line="360" w:lineRule="exact"/>
        <w:rPr>
          <w:rFonts w:ascii="宋体" w:hAnsi="宋体" w:cs="宋体"/>
          <w:color w:val="auto"/>
          <w:spacing w:val="20"/>
          <w:sz w:val="22"/>
          <w:highlight w:val="none"/>
        </w:rPr>
      </w:pPr>
      <w:r>
        <w:rPr>
          <w:rFonts w:hint="eastAsia" w:ascii="宋体" w:hAnsi="宋体" w:cs="宋体"/>
          <w:color w:val="auto"/>
          <w:sz w:val="22"/>
          <w:highlight w:val="none"/>
          <w:lang w:val="zh-CN"/>
        </w:rPr>
        <w:t>供应商盖章：</w:t>
      </w:r>
    </w:p>
    <w:p w14:paraId="62877E22">
      <w:pPr>
        <w:tabs>
          <w:tab w:val="left" w:pos="1069"/>
          <w:tab w:val="left" w:pos="2352"/>
        </w:tabs>
        <w:rPr>
          <w:rFonts w:hint="eastAsia" w:ascii="宋体" w:hAnsi="宋体" w:cs="宋体"/>
          <w:color w:val="auto"/>
          <w:highlight w:val="none"/>
        </w:rPr>
      </w:pPr>
      <w:bookmarkStart w:id="227" w:name="_Toc30988_WPSOffice_Level2"/>
    </w:p>
    <w:p w14:paraId="2AFCF02A">
      <w:pPr>
        <w:tabs>
          <w:tab w:val="left" w:pos="1069"/>
          <w:tab w:val="left" w:pos="2352"/>
        </w:tabs>
        <w:rPr>
          <w:rFonts w:hint="eastAsia" w:ascii="宋体" w:hAnsi="宋体" w:cs="宋体"/>
          <w:color w:val="auto"/>
          <w:highlight w:val="none"/>
        </w:rPr>
      </w:pPr>
    </w:p>
    <w:p w14:paraId="0D2A44CD">
      <w:pPr>
        <w:tabs>
          <w:tab w:val="left" w:pos="1069"/>
          <w:tab w:val="left" w:pos="2352"/>
        </w:tabs>
        <w:rPr>
          <w:rFonts w:ascii="宋体" w:hAnsi="宋体" w:cs="宋体"/>
          <w:color w:val="auto"/>
          <w:highlight w:val="none"/>
        </w:rPr>
      </w:pPr>
      <w:r>
        <w:rPr>
          <w:rFonts w:hint="eastAsia" w:ascii="宋体" w:hAnsi="宋体" w:cs="宋体"/>
          <w:color w:val="auto"/>
          <w:highlight w:val="none"/>
        </w:rPr>
        <w:t>备注：表格可以延续</w:t>
      </w:r>
      <w:bookmarkEnd w:id="227"/>
    </w:p>
    <w:p w14:paraId="486C8073">
      <w:pPr>
        <w:pStyle w:val="19"/>
        <w:tabs>
          <w:tab w:val="left" w:pos="1069"/>
          <w:tab w:val="left" w:pos="2352"/>
        </w:tabs>
        <w:spacing w:line="360" w:lineRule="exact"/>
        <w:rPr>
          <w:rFonts w:hAnsi="宋体" w:cs="宋体"/>
          <w:color w:val="auto"/>
          <w:sz w:val="22"/>
          <w:highlight w:val="none"/>
        </w:rPr>
      </w:pPr>
    </w:p>
    <w:p w14:paraId="7A9ABA31">
      <w:pPr>
        <w:tabs>
          <w:tab w:val="left" w:pos="1069"/>
          <w:tab w:val="left" w:pos="2352"/>
        </w:tabs>
        <w:rPr>
          <w:rFonts w:ascii="宋体" w:hAnsi="宋体" w:cs="宋体"/>
          <w:b/>
          <w:bCs/>
          <w:color w:val="auto"/>
          <w:sz w:val="32"/>
          <w:szCs w:val="32"/>
          <w:highlight w:val="none"/>
        </w:rPr>
      </w:pPr>
    </w:p>
    <w:p w14:paraId="690FC6EC">
      <w:pPr>
        <w:tabs>
          <w:tab w:val="left" w:pos="1069"/>
          <w:tab w:val="left" w:pos="2352"/>
        </w:tabs>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附件十</w:t>
      </w:r>
      <w:r>
        <w:rPr>
          <w:rFonts w:hint="eastAsia" w:hAnsi="宋体" w:cs="宋体"/>
          <w:b/>
          <w:bCs/>
          <w:color w:val="auto"/>
          <w:sz w:val="32"/>
          <w:highlight w:val="none"/>
          <w:lang w:val="en-US" w:eastAsia="zh-CN"/>
        </w:rPr>
        <w:t>四</w:t>
      </w:r>
    </w:p>
    <w:p w14:paraId="4777FDFB">
      <w:pPr>
        <w:tabs>
          <w:tab w:val="left" w:pos="1069"/>
          <w:tab w:val="left" w:pos="2352"/>
        </w:tabs>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供应商项目服务人员汇总表</w:t>
      </w:r>
    </w:p>
    <w:p w14:paraId="3916996B">
      <w:pPr>
        <w:tabs>
          <w:tab w:val="left" w:pos="1069"/>
          <w:tab w:val="left" w:pos="2352"/>
        </w:tabs>
        <w:spacing w:line="360" w:lineRule="auto"/>
        <w:rPr>
          <w:rFonts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龟湖镇水厂备用水源工程设备采购</w:t>
      </w:r>
    </w:p>
    <w:p w14:paraId="51D08993">
      <w:pPr>
        <w:tabs>
          <w:tab w:val="left" w:pos="1069"/>
          <w:tab w:val="left" w:pos="2352"/>
        </w:tabs>
        <w:spacing w:line="360" w:lineRule="auto"/>
        <w:rPr>
          <w:rFonts w:ascii="宋体" w:hAnsi="宋体" w:cs="宋体"/>
          <w:bCs/>
          <w:color w:val="auto"/>
          <w:sz w:val="22"/>
          <w:highlight w:val="none"/>
        </w:rPr>
      </w:pPr>
      <w:r>
        <w:rPr>
          <w:rFonts w:hint="eastAsia" w:ascii="宋体" w:hAnsi="宋体" w:cs="宋体"/>
          <w:color w:val="auto"/>
          <w:sz w:val="22"/>
          <w:highlight w:val="none"/>
        </w:rPr>
        <w:t>招标编号：</w:t>
      </w:r>
      <w:r>
        <w:rPr>
          <w:rFonts w:hint="eastAsia" w:ascii="宋体" w:hAnsi="宋体" w:cs="宋体"/>
          <w:color w:val="auto"/>
          <w:sz w:val="22"/>
          <w:highlight w:val="none"/>
          <w:u w:val="single"/>
          <w:lang w:val="zh-CN"/>
        </w:rPr>
        <w:t>TSCG202601002</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6004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noWrap w:val="0"/>
            <w:vAlign w:val="center"/>
          </w:tcPr>
          <w:p w14:paraId="5A60B872">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姓名</w:t>
            </w:r>
          </w:p>
        </w:tc>
        <w:tc>
          <w:tcPr>
            <w:tcW w:w="2520" w:type="dxa"/>
            <w:noWrap w:val="0"/>
            <w:vAlign w:val="center"/>
          </w:tcPr>
          <w:p w14:paraId="5F9C327F">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本项目主要工作</w:t>
            </w:r>
          </w:p>
        </w:tc>
        <w:tc>
          <w:tcPr>
            <w:tcW w:w="720" w:type="dxa"/>
            <w:noWrap w:val="0"/>
            <w:vAlign w:val="center"/>
          </w:tcPr>
          <w:p w14:paraId="0BE9BDBF">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年龄</w:t>
            </w:r>
          </w:p>
        </w:tc>
        <w:tc>
          <w:tcPr>
            <w:tcW w:w="720" w:type="dxa"/>
            <w:noWrap w:val="0"/>
            <w:vAlign w:val="center"/>
          </w:tcPr>
          <w:p w14:paraId="79B2D9FC">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性别</w:t>
            </w:r>
          </w:p>
        </w:tc>
        <w:tc>
          <w:tcPr>
            <w:tcW w:w="720" w:type="dxa"/>
            <w:noWrap w:val="0"/>
            <w:vAlign w:val="center"/>
          </w:tcPr>
          <w:p w14:paraId="1B0B6165">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专业</w:t>
            </w:r>
          </w:p>
        </w:tc>
        <w:tc>
          <w:tcPr>
            <w:tcW w:w="1080" w:type="dxa"/>
            <w:noWrap w:val="0"/>
            <w:vAlign w:val="center"/>
          </w:tcPr>
          <w:p w14:paraId="2CE05737">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专业</w:t>
            </w:r>
          </w:p>
          <w:p w14:paraId="25309C06">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年限</w:t>
            </w:r>
          </w:p>
        </w:tc>
        <w:tc>
          <w:tcPr>
            <w:tcW w:w="1458" w:type="dxa"/>
            <w:noWrap w:val="0"/>
            <w:vAlign w:val="center"/>
          </w:tcPr>
          <w:p w14:paraId="1C9F2664">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职务</w:t>
            </w:r>
          </w:p>
          <w:p w14:paraId="76BC4FC0">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和职称/认证</w:t>
            </w:r>
          </w:p>
        </w:tc>
        <w:tc>
          <w:tcPr>
            <w:tcW w:w="1560" w:type="dxa"/>
            <w:noWrap w:val="0"/>
            <w:vAlign w:val="center"/>
          </w:tcPr>
          <w:p w14:paraId="67226CB1">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备注</w:t>
            </w:r>
          </w:p>
        </w:tc>
      </w:tr>
      <w:tr w14:paraId="78475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noWrap w:val="0"/>
            <w:vAlign w:val="center"/>
          </w:tcPr>
          <w:p w14:paraId="753F9FC7">
            <w:pPr>
              <w:tabs>
                <w:tab w:val="left" w:pos="1069"/>
                <w:tab w:val="left" w:pos="2352"/>
              </w:tabs>
              <w:spacing w:line="360" w:lineRule="auto"/>
              <w:rPr>
                <w:rFonts w:ascii="宋体" w:hAnsi="宋体" w:cs="宋体"/>
                <w:color w:val="auto"/>
                <w:sz w:val="22"/>
                <w:highlight w:val="none"/>
              </w:rPr>
            </w:pPr>
          </w:p>
        </w:tc>
        <w:tc>
          <w:tcPr>
            <w:tcW w:w="2520" w:type="dxa"/>
            <w:noWrap w:val="0"/>
            <w:vAlign w:val="center"/>
          </w:tcPr>
          <w:p w14:paraId="7A91877C">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5CDDBE32">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3F47FF2F">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25BC7F30">
            <w:pPr>
              <w:tabs>
                <w:tab w:val="left" w:pos="1069"/>
                <w:tab w:val="left" w:pos="2352"/>
              </w:tabs>
              <w:spacing w:line="360" w:lineRule="auto"/>
              <w:rPr>
                <w:rFonts w:ascii="宋体" w:hAnsi="宋体" w:cs="宋体"/>
                <w:color w:val="auto"/>
                <w:sz w:val="22"/>
                <w:highlight w:val="none"/>
              </w:rPr>
            </w:pPr>
          </w:p>
        </w:tc>
        <w:tc>
          <w:tcPr>
            <w:tcW w:w="1080" w:type="dxa"/>
            <w:noWrap w:val="0"/>
            <w:vAlign w:val="center"/>
          </w:tcPr>
          <w:p w14:paraId="5C212B09">
            <w:pPr>
              <w:tabs>
                <w:tab w:val="left" w:pos="1069"/>
                <w:tab w:val="left" w:pos="2352"/>
              </w:tabs>
              <w:spacing w:line="360" w:lineRule="auto"/>
              <w:rPr>
                <w:rFonts w:ascii="宋体" w:hAnsi="宋体" w:cs="宋体"/>
                <w:color w:val="auto"/>
                <w:sz w:val="22"/>
                <w:highlight w:val="none"/>
              </w:rPr>
            </w:pPr>
          </w:p>
        </w:tc>
        <w:tc>
          <w:tcPr>
            <w:tcW w:w="1458" w:type="dxa"/>
            <w:noWrap w:val="0"/>
            <w:vAlign w:val="center"/>
          </w:tcPr>
          <w:p w14:paraId="4E87E701">
            <w:pPr>
              <w:tabs>
                <w:tab w:val="left" w:pos="1069"/>
                <w:tab w:val="left" w:pos="2352"/>
              </w:tabs>
              <w:spacing w:line="360" w:lineRule="auto"/>
              <w:ind w:left="5250"/>
              <w:rPr>
                <w:rFonts w:ascii="宋体" w:hAnsi="宋体" w:cs="宋体"/>
                <w:color w:val="auto"/>
                <w:spacing w:val="12"/>
                <w:sz w:val="22"/>
                <w:highlight w:val="none"/>
              </w:rPr>
            </w:pPr>
          </w:p>
        </w:tc>
        <w:tc>
          <w:tcPr>
            <w:tcW w:w="1560" w:type="dxa"/>
            <w:noWrap w:val="0"/>
            <w:vAlign w:val="center"/>
          </w:tcPr>
          <w:p w14:paraId="2A55D9FE">
            <w:pPr>
              <w:tabs>
                <w:tab w:val="left" w:pos="1069"/>
                <w:tab w:val="left" w:pos="2352"/>
              </w:tabs>
              <w:spacing w:line="360" w:lineRule="auto"/>
              <w:rPr>
                <w:rFonts w:ascii="宋体" w:hAnsi="宋体" w:cs="宋体"/>
                <w:color w:val="auto"/>
                <w:sz w:val="22"/>
                <w:highlight w:val="none"/>
              </w:rPr>
            </w:pPr>
          </w:p>
        </w:tc>
      </w:tr>
      <w:tr w14:paraId="3712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noWrap w:val="0"/>
            <w:vAlign w:val="center"/>
          </w:tcPr>
          <w:p w14:paraId="41D2E4AD">
            <w:pPr>
              <w:tabs>
                <w:tab w:val="left" w:pos="1069"/>
                <w:tab w:val="left" w:pos="2352"/>
              </w:tabs>
              <w:spacing w:line="360" w:lineRule="auto"/>
              <w:rPr>
                <w:rFonts w:ascii="宋体" w:hAnsi="宋体" w:cs="宋体"/>
                <w:color w:val="auto"/>
                <w:sz w:val="22"/>
                <w:highlight w:val="none"/>
              </w:rPr>
            </w:pPr>
          </w:p>
        </w:tc>
        <w:tc>
          <w:tcPr>
            <w:tcW w:w="2520" w:type="dxa"/>
            <w:noWrap w:val="0"/>
            <w:vAlign w:val="center"/>
          </w:tcPr>
          <w:p w14:paraId="3758939E">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4733FA73">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0F4B784D">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356C5D91">
            <w:pPr>
              <w:tabs>
                <w:tab w:val="left" w:pos="1069"/>
                <w:tab w:val="left" w:pos="2352"/>
              </w:tabs>
              <w:spacing w:line="360" w:lineRule="auto"/>
              <w:rPr>
                <w:rFonts w:ascii="宋体" w:hAnsi="宋体" w:cs="宋体"/>
                <w:color w:val="auto"/>
                <w:sz w:val="22"/>
                <w:highlight w:val="none"/>
              </w:rPr>
            </w:pPr>
          </w:p>
        </w:tc>
        <w:tc>
          <w:tcPr>
            <w:tcW w:w="1080" w:type="dxa"/>
            <w:noWrap w:val="0"/>
            <w:vAlign w:val="center"/>
          </w:tcPr>
          <w:p w14:paraId="4D94013B">
            <w:pPr>
              <w:tabs>
                <w:tab w:val="left" w:pos="1069"/>
                <w:tab w:val="left" w:pos="2352"/>
              </w:tabs>
              <w:spacing w:line="360" w:lineRule="auto"/>
              <w:rPr>
                <w:rFonts w:ascii="宋体" w:hAnsi="宋体" w:cs="宋体"/>
                <w:color w:val="auto"/>
                <w:sz w:val="22"/>
                <w:highlight w:val="none"/>
              </w:rPr>
            </w:pPr>
          </w:p>
        </w:tc>
        <w:tc>
          <w:tcPr>
            <w:tcW w:w="1458" w:type="dxa"/>
            <w:noWrap w:val="0"/>
            <w:vAlign w:val="center"/>
          </w:tcPr>
          <w:p w14:paraId="28F07E34">
            <w:pPr>
              <w:tabs>
                <w:tab w:val="left" w:pos="1069"/>
                <w:tab w:val="left" w:pos="2352"/>
              </w:tabs>
              <w:spacing w:line="360" w:lineRule="auto"/>
              <w:rPr>
                <w:rFonts w:ascii="宋体" w:hAnsi="宋体" w:cs="宋体"/>
                <w:color w:val="auto"/>
                <w:sz w:val="22"/>
                <w:highlight w:val="none"/>
              </w:rPr>
            </w:pPr>
          </w:p>
        </w:tc>
        <w:tc>
          <w:tcPr>
            <w:tcW w:w="1560" w:type="dxa"/>
            <w:noWrap w:val="0"/>
            <w:vAlign w:val="center"/>
          </w:tcPr>
          <w:p w14:paraId="527C2F77">
            <w:pPr>
              <w:tabs>
                <w:tab w:val="left" w:pos="1069"/>
                <w:tab w:val="left" w:pos="2352"/>
              </w:tabs>
              <w:spacing w:line="360" w:lineRule="auto"/>
              <w:ind w:left="5250"/>
              <w:rPr>
                <w:rFonts w:ascii="宋体" w:hAnsi="宋体" w:cs="宋体"/>
                <w:color w:val="auto"/>
                <w:spacing w:val="12"/>
                <w:sz w:val="22"/>
                <w:highlight w:val="none"/>
              </w:rPr>
            </w:pPr>
          </w:p>
        </w:tc>
      </w:tr>
      <w:tr w14:paraId="17057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noWrap w:val="0"/>
            <w:vAlign w:val="center"/>
          </w:tcPr>
          <w:p w14:paraId="3F7C3576">
            <w:pPr>
              <w:tabs>
                <w:tab w:val="left" w:pos="1069"/>
                <w:tab w:val="left" w:pos="2352"/>
              </w:tabs>
              <w:spacing w:line="360" w:lineRule="auto"/>
              <w:rPr>
                <w:rFonts w:ascii="宋体" w:hAnsi="宋体" w:cs="宋体"/>
                <w:color w:val="auto"/>
                <w:sz w:val="22"/>
                <w:highlight w:val="none"/>
              </w:rPr>
            </w:pPr>
          </w:p>
        </w:tc>
        <w:tc>
          <w:tcPr>
            <w:tcW w:w="2520" w:type="dxa"/>
            <w:noWrap w:val="0"/>
            <w:vAlign w:val="center"/>
          </w:tcPr>
          <w:p w14:paraId="07C76AA5">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762BD7B5">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7AF05CD0">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65EB1C80">
            <w:pPr>
              <w:tabs>
                <w:tab w:val="left" w:pos="1069"/>
                <w:tab w:val="left" w:pos="2352"/>
              </w:tabs>
              <w:spacing w:line="360" w:lineRule="auto"/>
              <w:rPr>
                <w:rFonts w:ascii="宋体" w:hAnsi="宋体" w:cs="宋体"/>
                <w:color w:val="auto"/>
                <w:sz w:val="22"/>
                <w:highlight w:val="none"/>
              </w:rPr>
            </w:pPr>
          </w:p>
        </w:tc>
        <w:tc>
          <w:tcPr>
            <w:tcW w:w="1080" w:type="dxa"/>
            <w:noWrap w:val="0"/>
            <w:vAlign w:val="center"/>
          </w:tcPr>
          <w:p w14:paraId="1925E243">
            <w:pPr>
              <w:tabs>
                <w:tab w:val="left" w:pos="1069"/>
                <w:tab w:val="left" w:pos="2352"/>
              </w:tabs>
              <w:spacing w:line="360" w:lineRule="auto"/>
              <w:rPr>
                <w:rFonts w:ascii="宋体" w:hAnsi="宋体" w:cs="宋体"/>
                <w:color w:val="auto"/>
                <w:sz w:val="22"/>
                <w:highlight w:val="none"/>
              </w:rPr>
            </w:pPr>
          </w:p>
        </w:tc>
        <w:tc>
          <w:tcPr>
            <w:tcW w:w="1458" w:type="dxa"/>
            <w:noWrap w:val="0"/>
            <w:vAlign w:val="center"/>
          </w:tcPr>
          <w:p w14:paraId="035E95AF">
            <w:pPr>
              <w:tabs>
                <w:tab w:val="left" w:pos="1069"/>
                <w:tab w:val="left" w:pos="2352"/>
              </w:tabs>
              <w:spacing w:line="360" w:lineRule="auto"/>
              <w:rPr>
                <w:rFonts w:ascii="宋体" w:hAnsi="宋体" w:cs="宋体"/>
                <w:color w:val="auto"/>
                <w:sz w:val="22"/>
                <w:highlight w:val="none"/>
              </w:rPr>
            </w:pPr>
          </w:p>
        </w:tc>
        <w:tc>
          <w:tcPr>
            <w:tcW w:w="1560" w:type="dxa"/>
            <w:noWrap w:val="0"/>
            <w:vAlign w:val="center"/>
          </w:tcPr>
          <w:p w14:paraId="4C60B833">
            <w:pPr>
              <w:tabs>
                <w:tab w:val="left" w:pos="1069"/>
                <w:tab w:val="left" w:pos="2352"/>
              </w:tabs>
              <w:spacing w:line="360" w:lineRule="auto"/>
              <w:rPr>
                <w:rFonts w:ascii="宋体" w:hAnsi="宋体" w:cs="宋体"/>
                <w:color w:val="auto"/>
                <w:sz w:val="22"/>
                <w:highlight w:val="none"/>
              </w:rPr>
            </w:pPr>
          </w:p>
        </w:tc>
      </w:tr>
      <w:tr w14:paraId="34579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noWrap w:val="0"/>
            <w:vAlign w:val="center"/>
          </w:tcPr>
          <w:p w14:paraId="5C31CCC1">
            <w:pPr>
              <w:tabs>
                <w:tab w:val="left" w:pos="1069"/>
                <w:tab w:val="left" w:pos="2352"/>
              </w:tabs>
              <w:spacing w:line="360" w:lineRule="auto"/>
              <w:rPr>
                <w:rFonts w:ascii="宋体" w:hAnsi="宋体" w:cs="宋体"/>
                <w:color w:val="auto"/>
                <w:sz w:val="22"/>
                <w:highlight w:val="none"/>
              </w:rPr>
            </w:pPr>
          </w:p>
        </w:tc>
        <w:tc>
          <w:tcPr>
            <w:tcW w:w="2520" w:type="dxa"/>
            <w:noWrap w:val="0"/>
            <w:vAlign w:val="center"/>
          </w:tcPr>
          <w:p w14:paraId="508A46CE">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4AEECED0">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6D13DB57">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67C1920D">
            <w:pPr>
              <w:tabs>
                <w:tab w:val="left" w:pos="1069"/>
                <w:tab w:val="left" w:pos="2352"/>
              </w:tabs>
              <w:spacing w:line="360" w:lineRule="auto"/>
              <w:rPr>
                <w:rFonts w:ascii="宋体" w:hAnsi="宋体" w:cs="宋体"/>
                <w:color w:val="auto"/>
                <w:sz w:val="22"/>
                <w:highlight w:val="none"/>
              </w:rPr>
            </w:pPr>
          </w:p>
        </w:tc>
        <w:tc>
          <w:tcPr>
            <w:tcW w:w="1080" w:type="dxa"/>
            <w:noWrap w:val="0"/>
            <w:vAlign w:val="center"/>
          </w:tcPr>
          <w:p w14:paraId="0CF241BD">
            <w:pPr>
              <w:tabs>
                <w:tab w:val="left" w:pos="1069"/>
                <w:tab w:val="left" w:pos="2352"/>
              </w:tabs>
              <w:spacing w:line="360" w:lineRule="auto"/>
              <w:rPr>
                <w:rFonts w:ascii="宋体" w:hAnsi="宋体" w:cs="宋体"/>
                <w:color w:val="auto"/>
                <w:sz w:val="22"/>
                <w:highlight w:val="none"/>
              </w:rPr>
            </w:pPr>
          </w:p>
        </w:tc>
        <w:tc>
          <w:tcPr>
            <w:tcW w:w="1458" w:type="dxa"/>
            <w:noWrap w:val="0"/>
            <w:vAlign w:val="center"/>
          </w:tcPr>
          <w:p w14:paraId="0D720FBE">
            <w:pPr>
              <w:tabs>
                <w:tab w:val="left" w:pos="1069"/>
                <w:tab w:val="left" w:pos="2352"/>
              </w:tabs>
              <w:spacing w:line="360" w:lineRule="auto"/>
              <w:rPr>
                <w:rFonts w:ascii="宋体" w:hAnsi="宋体" w:cs="宋体"/>
                <w:color w:val="auto"/>
                <w:sz w:val="22"/>
                <w:highlight w:val="none"/>
              </w:rPr>
            </w:pPr>
          </w:p>
        </w:tc>
        <w:tc>
          <w:tcPr>
            <w:tcW w:w="1560" w:type="dxa"/>
            <w:noWrap w:val="0"/>
            <w:vAlign w:val="center"/>
          </w:tcPr>
          <w:p w14:paraId="4EA19136">
            <w:pPr>
              <w:tabs>
                <w:tab w:val="left" w:pos="1069"/>
                <w:tab w:val="left" w:pos="2352"/>
              </w:tabs>
              <w:spacing w:line="360" w:lineRule="auto"/>
              <w:rPr>
                <w:rFonts w:ascii="宋体" w:hAnsi="宋体" w:cs="宋体"/>
                <w:color w:val="auto"/>
                <w:sz w:val="22"/>
                <w:highlight w:val="none"/>
              </w:rPr>
            </w:pPr>
          </w:p>
        </w:tc>
      </w:tr>
      <w:tr w14:paraId="3F5D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noWrap w:val="0"/>
            <w:vAlign w:val="center"/>
          </w:tcPr>
          <w:p w14:paraId="51E05EF2">
            <w:pPr>
              <w:tabs>
                <w:tab w:val="left" w:pos="1069"/>
                <w:tab w:val="left" w:pos="2352"/>
              </w:tabs>
              <w:spacing w:line="360" w:lineRule="auto"/>
              <w:rPr>
                <w:rFonts w:ascii="宋体" w:hAnsi="宋体" w:cs="宋体"/>
                <w:color w:val="auto"/>
                <w:sz w:val="22"/>
                <w:highlight w:val="none"/>
              </w:rPr>
            </w:pPr>
          </w:p>
        </w:tc>
        <w:tc>
          <w:tcPr>
            <w:tcW w:w="2520" w:type="dxa"/>
            <w:noWrap w:val="0"/>
            <w:vAlign w:val="center"/>
          </w:tcPr>
          <w:p w14:paraId="138FE4C5">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12BD6782">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4BC8B2E2">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1CFACC1A">
            <w:pPr>
              <w:tabs>
                <w:tab w:val="left" w:pos="1069"/>
                <w:tab w:val="left" w:pos="2352"/>
              </w:tabs>
              <w:spacing w:line="360" w:lineRule="auto"/>
              <w:rPr>
                <w:rFonts w:ascii="宋体" w:hAnsi="宋体" w:cs="宋体"/>
                <w:color w:val="auto"/>
                <w:sz w:val="22"/>
                <w:highlight w:val="none"/>
              </w:rPr>
            </w:pPr>
          </w:p>
        </w:tc>
        <w:tc>
          <w:tcPr>
            <w:tcW w:w="1080" w:type="dxa"/>
            <w:noWrap w:val="0"/>
            <w:vAlign w:val="center"/>
          </w:tcPr>
          <w:p w14:paraId="1ADEC6AB">
            <w:pPr>
              <w:tabs>
                <w:tab w:val="left" w:pos="1069"/>
                <w:tab w:val="left" w:pos="2352"/>
              </w:tabs>
              <w:spacing w:line="360" w:lineRule="auto"/>
              <w:rPr>
                <w:rFonts w:ascii="宋体" w:hAnsi="宋体" w:cs="宋体"/>
                <w:color w:val="auto"/>
                <w:sz w:val="22"/>
                <w:highlight w:val="none"/>
              </w:rPr>
            </w:pPr>
          </w:p>
        </w:tc>
        <w:tc>
          <w:tcPr>
            <w:tcW w:w="1458" w:type="dxa"/>
            <w:noWrap w:val="0"/>
            <w:vAlign w:val="center"/>
          </w:tcPr>
          <w:p w14:paraId="5A420FC3">
            <w:pPr>
              <w:tabs>
                <w:tab w:val="left" w:pos="1069"/>
                <w:tab w:val="left" w:pos="2352"/>
              </w:tabs>
              <w:spacing w:line="360" w:lineRule="auto"/>
              <w:rPr>
                <w:rFonts w:ascii="宋体" w:hAnsi="宋体" w:cs="宋体"/>
                <w:color w:val="auto"/>
                <w:sz w:val="22"/>
                <w:highlight w:val="none"/>
              </w:rPr>
            </w:pPr>
          </w:p>
        </w:tc>
        <w:tc>
          <w:tcPr>
            <w:tcW w:w="1560" w:type="dxa"/>
            <w:noWrap w:val="0"/>
            <w:vAlign w:val="center"/>
          </w:tcPr>
          <w:p w14:paraId="5B4F66FB">
            <w:pPr>
              <w:tabs>
                <w:tab w:val="left" w:pos="1069"/>
                <w:tab w:val="left" w:pos="2352"/>
              </w:tabs>
              <w:spacing w:line="360" w:lineRule="auto"/>
              <w:rPr>
                <w:rFonts w:ascii="宋体" w:hAnsi="宋体" w:cs="宋体"/>
                <w:color w:val="auto"/>
                <w:sz w:val="22"/>
                <w:highlight w:val="none"/>
              </w:rPr>
            </w:pPr>
          </w:p>
        </w:tc>
      </w:tr>
      <w:tr w14:paraId="71EC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noWrap w:val="0"/>
            <w:vAlign w:val="center"/>
          </w:tcPr>
          <w:p w14:paraId="0E2F5EAE">
            <w:pPr>
              <w:tabs>
                <w:tab w:val="left" w:pos="1069"/>
                <w:tab w:val="left" w:pos="2352"/>
              </w:tabs>
              <w:spacing w:line="360" w:lineRule="auto"/>
              <w:rPr>
                <w:rFonts w:ascii="宋体" w:hAnsi="宋体" w:cs="宋体"/>
                <w:color w:val="auto"/>
                <w:sz w:val="22"/>
                <w:highlight w:val="none"/>
              </w:rPr>
            </w:pPr>
          </w:p>
        </w:tc>
        <w:tc>
          <w:tcPr>
            <w:tcW w:w="2520" w:type="dxa"/>
            <w:noWrap w:val="0"/>
            <w:vAlign w:val="center"/>
          </w:tcPr>
          <w:p w14:paraId="23863415">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0BF17C77">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2508E1F9">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05AAD6B0">
            <w:pPr>
              <w:tabs>
                <w:tab w:val="left" w:pos="1069"/>
                <w:tab w:val="left" w:pos="2352"/>
              </w:tabs>
              <w:spacing w:line="360" w:lineRule="auto"/>
              <w:rPr>
                <w:rFonts w:ascii="宋体" w:hAnsi="宋体" w:cs="宋体"/>
                <w:color w:val="auto"/>
                <w:sz w:val="22"/>
                <w:highlight w:val="none"/>
              </w:rPr>
            </w:pPr>
          </w:p>
        </w:tc>
        <w:tc>
          <w:tcPr>
            <w:tcW w:w="1080" w:type="dxa"/>
            <w:noWrap w:val="0"/>
            <w:vAlign w:val="center"/>
          </w:tcPr>
          <w:p w14:paraId="45D17E7F">
            <w:pPr>
              <w:tabs>
                <w:tab w:val="left" w:pos="1069"/>
                <w:tab w:val="left" w:pos="2352"/>
              </w:tabs>
              <w:spacing w:line="360" w:lineRule="auto"/>
              <w:rPr>
                <w:rFonts w:ascii="宋体" w:hAnsi="宋体" w:cs="宋体"/>
                <w:color w:val="auto"/>
                <w:sz w:val="22"/>
                <w:highlight w:val="none"/>
              </w:rPr>
            </w:pPr>
          </w:p>
        </w:tc>
        <w:tc>
          <w:tcPr>
            <w:tcW w:w="1458" w:type="dxa"/>
            <w:noWrap w:val="0"/>
            <w:vAlign w:val="center"/>
          </w:tcPr>
          <w:p w14:paraId="620DD3EE">
            <w:pPr>
              <w:tabs>
                <w:tab w:val="left" w:pos="1069"/>
                <w:tab w:val="left" w:pos="2352"/>
              </w:tabs>
              <w:spacing w:line="360" w:lineRule="auto"/>
              <w:rPr>
                <w:rFonts w:ascii="宋体" w:hAnsi="宋体" w:cs="宋体"/>
                <w:color w:val="auto"/>
                <w:sz w:val="22"/>
                <w:highlight w:val="none"/>
              </w:rPr>
            </w:pPr>
          </w:p>
        </w:tc>
        <w:tc>
          <w:tcPr>
            <w:tcW w:w="1560" w:type="dxa"/>
            <w:noWrap w:val="0"/>
            <w:vAlign w:val="center"/>
          </w:tcPr>
          <w:p w14:paraId="26CB619C">
            <w:pPr>
              <w:tabs>
                <w:tab w:val="left" w:pos="1069"/>
                <w:tab w:val="left" w:pos="2352"/>
              </w:tabs>
              <w:spacing w:line="360" w:lineRule="auto"/>
              <w:rPr>
                <w:rFonts w:ascii="宋体" w:hAnsi="宋体" w:cs="宋体"/>
                <w:color w:val="auto"/>
                <w:sz w:val="22"/>
                <w:highlight w:val="none"/>
              </w:rPr>
            </w:pPr>
          </w:p>
        </w:tc>
      </w:tr>
      <w:tr w14:paraId="5E0F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noWrap w:val="0"/>
            <w:vAlign w:val="center"/>
          </w:tcPr>
          <w:p w14:paraId="47A2B417">
            <w:pPr>
              <w:tabs>
                <w:tab w:val="left" w:pos="1069"/>
                <w:tab w:val="left" w:pos="2352"/>
              </w:tabs>
              <w:spacing w:line="360" w:lineRule="auto"/>
              <w:rPr>
                <w:rFonts w:ascii="宋体" w:hAnsi="宋体" w:cs="宋体"/>
                <w:color w:val="auto"/>
                <w:sz w:val="22"/>
                <w:highlight w:val="none"/>
              </w:rPr>
            </w:pPr>
          </w:p>
        </w:tc>
        <w:tc>
          <w:tcPr>
            <w:tcW w:w="2520" w:type="dxa"/>
            <w:noWrap w:val="0"/>
            <w:vAlign w:val="center"/>
          </w:tcPr>
          <w:p w14:paraId="082538AD">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5C5DBD1B">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2833A402">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7E084AD8">
            <w:pPr>
              <w:tabs>
                <w:tab w:val="left" w:pos="1069"/>
                <w:tab w:val="left" w:pos="2352"/>
              </w:tabs>
              <w:spacing w:line="360" w:lineRule="auto"/>
              <w:rPr>
                <w:rFonts w:ascii="宋体" w:hAnsi="宋体" w:cs="宋体"/>
                <w:color w:val="auto"/>
                <w:sz w:val="22"/>
                <w:highlight w:val="none"/>
              </w:rPr>
            </w:pPr>
          </w:p>
        </w:tc>
        <w:tc>
          <w:tcPr>
            <w:tcW w:w="1080" w:type="dxa"/>
            <w:noWrap w:val="0"/>
            <w:vAlign w:val="center"/>
          </w:tcPr>
          <w:p w14:paraId="39E99E34">
            <w:pPr>
              <w:tabs>
                <w:tab w:val="left" w:pos="1069"/>
                <w:tab w:val="left" w:pos="2352"/>
              </w:tabs>
              <w:spacing w:line="360" w:lineRule="auto"/>
              <w:rPr>
                <w:rFonts w:ascii="宋体" w:hAnsi="宋体" w:cs="宋体"/>
                <w:color w:val="auto"/>
                <w:sz w:val="22"/>
                <w:highlight w:val="none"/>
              </w:rPr>
            </w:pPr>
          </w:p>
        </w:tc>
        <w:tc>
          <w:tcPr>
            <w:tcW w:w="1458" w:type="dxa"/>
            <w:noWrap w:val="0"/>
            <w:vAlign w:val="center"/>
          </w:tcPr>
          <w:p w14:paraId="7B4CF1DA">
            <w:pPr>
              <w:tabs>
                <w:tab w:val="left" w:pos="1069"/>
                <w:tab w:val="left" w:pos="2352"/>
              </w:tabs>
              <w:spacing w:line="360" w:lineRule="auto"/>
              <w:rPr>
                <w:rFonts w:ascii="宋体" w:hAnsi="宋体" w:cs="宋体"/>
                <w:color w:val="auto"/>
                <w:sz w:val="22"/>
                <w:highlight w:val="none"/>
              </w:rPr>
            </w:pPr>
          </w:p>
        </w:tc>
        <w:tc>
          <w:tcPr>
            <w:tcW w:w="1560" w:type="dxa"/>
            <w:noWrap w:val="0"/>
            <w:vAlign w:val="center"/>
          </w:tcPr>
          <w:p w14:paraId="2D23599F">
            <w:pPr>
              <w:tabs>
                <w:tab w:val="left" w:pos="1069"/>
                <w:tab w:val="left" w:pos="2352"/>
              </w:tabs>
              <w:spacing w:line="360" w:lineRule="auto"/>
              <w:rPr>
                <w:rFonts w:ascii="宋体" w:hAnsi="宋体" w:cs="宋体"/>
                <w:color w:val="auto"/>
                <w:sz w:val="22"/>
                <w:highlight w:val="none"/>
              </w:rPr>
            </w:pPr>
          </w:p>
        </w:tc>
      </w:tr>
      <w:tr w14:paraId="4518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noWrap w:val="0"/>
            <w:vAlign w:val="center"/>
          </w:tcPr>
          <w:p w14:paraId="1ECEC565">
            <w:pPr>
              <w:tabs>
                <w:tab w:val="left" w:pos="1069"/>
                <w:tab w:val="left" w:pos="2352"/>
              </w:tabs>
              <w:spacing w:line="360" w:lineRule="auto"/>
              <w:rPr>
                <w:rFonts w:ascii="宋体" w:hAnsi="宋体" w:cs="宋体"/>
                <w:color w:val="auto"/>
                <w:sz w:val="22"/>
                <w:highlight w:val="none"/>
              </w:rPr>
            </w:pPr>
          </w:p>
        </w:tc>
        <w:tc>
          <w:tcPr>
            <w:tcW w:w="2520" w:type="dxa"/>
            <w:noWrap w:val="0"/>
            <w:vAlign w:val="center"/>
          </w:tcPr>
          <w:p w14:paraId="4C26BEAA">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4217C2AC">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38D52937">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5A3FED3D">
            <w:pPr>
              <w:tabs>
                <w:tab w:val="left" w:pos="1069"/>
                <w:tab w:val="left" w:pos="2352"/>
              </w:tabs>
              <w:spacing w:line="360" w:lineRule="auto"/>
              <w:rPr>
                <w:rFonts w:ascii="宋体" w:hAnsi="宋体" w:cs="宋体"/>
                <w:color w:val="auto"/>
                <w:sz w:val="22"/>
                <w:highlight w:val="none"/>
              </w:rPr>
            </w:pPr>
          </w:p>
        </w:tc>
        <w:tc>
          <w:tcPr>
            <w:tcW w:w="1080" w:type="dxa"/>
            <w:noWrap w:val="0"/>
            <w:vAlign w:val="center"/>
          </w:tcPr>
          <w:p w14:paraId="2725B344">
            <w:pPr>
              <w:tabs>
                <w:tab w:val="left" w:pos="1069"/>
                <w:tab w:val="left" w:pos="2352"/>
              </w:tabs>
              <w:spacing w:line="360" w:lineRule="auto"/>
              <w:rPr>
                <w:rFonts w:ascii="宋体" w:hAnsi="宋体" w:cs="宋体"/>
                <w:color w:val="auto"/>
                <w:sz w:val="22"/>
                <w:highlight w:val="none"/>
              </w:rPr>
            </w:pPr>
          </w:p>
        </w:tc>
        <w:tc>
          <w:tcPr>
            <w:tcW w:w="1458" w:type="dxa"/>
            <w:noWrap w:val="0"/>
            <w:vAlign w:val="center"/>
          </w:tcPr>
          <w:p w14:paraId="488FF119">
            <w:pPr>
              <w:tabs>
                <w:tab w:val="left" w:pos="1069"/>
                <w:tab w:val="left" w:pos="2352"/>
              </w:tabs>
              <w:spacing w:line="360" w:lineRule="auto"/>
              <w:rPr>
                <w:rFonts w:ascii="宋体" w:hAnsi="宋体" w:cs="宋体"/>
                <w:color w:val="auto"/>
                <w:sz w:val="22"/>
                <w:highlight w:val="none"/>
              </w:rPr>
            </w:pPr>
          </w:p>
        </w:tc>
        <w:tc>
          <w:tcPr>
            <w:tcW w:w="1560" w:type="dxa"/>
            <w:noWrap w:val="0"/>
            <w:vAlign w:val="center"/>
          </w:tcPr>
          <w:p w14:paraId="210676DB">
            <w:pPr>
              <w:tabs>
                <w:tab w:val="left" w:pos="1069"/>
                <w:tab w:val="left" w:pos="2352"/>
              </w:tabs>
              <w:spacing w:line="360" w:lineRule="auto"/>
              <w:rPr>
                <w:rFonts w:ascii="宋体" w:hAnsi="宋体" w:cs="宋体"/>
                <w:color w:val="auto"/>
                <w:sz w:val="22"/>
                <w:highlight w:val="none"/>
              </w:rPr>
            </w:pPr>
          </w:p>
        </w:tc>
      </w:tr>
      <w:tr w14:paraId="0085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noWrap w:val="0"/>
            <w:vAlign w:val="center"/>
          </w:tcPr>
          <w:p w14:paraId="6C5529FA">
            <w:pPr>
              <w:tabs>
                <w:tab w:val="left" w:pos="1069"/>
                <w:tab w:val="left" w:pos="2352"/>
              </w:tabs>
              <w:spacing w:line="360" w:lineRule="auto"/>
              <w:rPr>
                <w:rFonts w:ascii="宋体" w:hAnsi="宋体" w:cs="宋体"/>
                <w:color w:val="auto"/>
                <w:sz w:val="22"/>
                <w:highlight w:val="none"/>
              </w:rPr>
            </w:pPr>
          </w:p>
        </w:tc>
        <w:tc>
          <w:tcPr>
            <w:tcW w:w="2520" w:type="dxa"/>
            <w:noWrap w:val="0"/>
            <w:vAlign w:val="center"/>
          </w:tcPr>
          <w:p w14:paraId="7A972B01">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692FBE70">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4E23AD0F">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3B64E38A">
            <w:pPr>
              <w:tabs>
                <w:tab w:val="left" w:pos="1069"/>
                <w:tab w:val="left" w:pos="2352"/>
              </w:tabs>
              <w:spacing w:line="360" w:lineRule="auto"/>
              <w:rPr>
                <w:rFonts w:ascii="宋体" w:hAnsi="宋体" w:cs="宋体"/>
                <w:color w:val="auto"/>
                <w:sz w:val="22"/>
                <w:highlight w:val="none"/>
              </w:rPr>
            </w:pPr>
          </w:p>
        </w:tc>
        <w:tc>
          <w:tcPr>
            <w:tcW w:w="1080" w:type="dxa"/>
            <w:noWrap w:val="0"/>
            <w:vAlign w:val="center"/>
          </w:tcPr>
          <w:p w14:paraId="2C989AF9">
            <w:pPr>
              <w:tabs>
                <w:tab w:val="left" w:pos="1069"/>
                <w:tab w:val="left" w:pos="2352"/>
              </w:tabs>
              <w:spacing w:line="360" w:lineRule="auto"/>
              <w:rPr>
                <w:rFonts w:ascii="宋体" w:hAnsi="宋体" w:cs="宋体"/>
                <w:color w:val="auto"/>
                <w:sz w:val="22"/>
                <w:highlight w:val="none"/>
              </w:rPr>
            </w:pPr>
          </w:p>
        </w:tc>
        <w:tc>
          <w:tcPr>
            <w:tcW w:w="1458" w:type="dxa"/>
            <w:noWrap w:val="0"/>
            <w:vAlign w:val="center"/>
          </w:tcPr>
          <w:p w14:paraId="23A5F523">
            <w:pPr>
              <w:tabs>
                <w:tab w:val="left" w:pos="1069"/>
                <w:tab w:val="left" w:pos="2352"/>
              </w:tabs>
              <w:spacing w:line="360" w:lineRule="auto"/>
              <w:rPr>
                <w:rFonts w:ascii="宋体" w:hAnsi="宋体" w:cs="宋体"/>
                <w:color w:val="auto"/>
                <w:sz w:val="22"/>
                <w:highlight w:val="none"/>
              </w:rPr>
            </w:pPr>
          </w:p>
        </w:tc>
        <w:tc>
          <w:tcPr>
            <w:tcW w:w="1560" w:type="dxa"/>
            <w:noWrap w:val="0"/>
            <w:vAlign w:val="center"/>
          </w:tcPr>
          <w:p w14:paraId="610CE986">
            <w:pPr>
              <w:tabs>
                <w:tab w:val="left" w:pos="1069"/>
                <w:tab w:val="left" w:pos="2352"/>
              </w:tabs>
              <w:spacing w:line="360" w:lineRule="auto"/>
              <w:rPr>
                <w:rFonts w:ascii="宋体" w:hAnsi="宋体" w:cs="宋体"/>
                <w:color w:val="auto"/>
                <w:sz w:val="22"/>
                <w:highlight w:val="none"/>
              </w:rPr>
            </w:pPr>
          </w:p>
        </w:tc>
      </w:tr>
      <w:tr w14:paraId="5889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noWrap w:val="0"/>
            <w:vAlign w:val="center"/>
          </w:tcPr>
          <w:p w14:paraId="4436EFAA">
            <w:pPr>
              <w:tabs>
                <w:tab w:val="left" w:pos="1069"/>
                <w:tab w:val="left" w:pos="2352"/>
              </w:tabs>
              <w:spacing w:line="360" w:lineRule="auto"/>
              <w:rPr>
                <w:rFonts w:ascii="宋体" w:hAnsi="宋体" w:cs="宋体"/>
                <w:color w:val="auto"/>
                <w:sz w:val="22"/>
                <w:highlight w:val="none"/>
              </w:rPr>
            </w:pPr>
          </w:p>
        </w:tc>
        <w:tc>
          <w:tcPr>
            <w:tcW w:w="2520" w:type="dxa"/>
            <w:noWrap w:val="0"/>
            <w:vAlign w:val="center"/>
          </w:tcPr>
          <w:p w14:paraId="6B897C63">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1770C630">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0C40E3AF">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28621919">
            <w:pPr>
              <w:tabs>
                <w:tab w:val="left" w:pos="1069"/>
                <w:tab w:val="left" w:pos="2352"/>
              </w:tabs>
              <w:spacing w:line="360" w:lineRule="auto"/>
              <w:rPr>
                <w:rFonts w:ascii="宋体" w:hAnsi="宋体" w:cs="宋体"/>
                <w:color w:val="auto"/>
                <w:sz w:val="22"/>
                <w:highlight w:val="none"/>
              </w:rPr>
            </w:pPr>
          </w:p>
        </w:tc>
        <w:tc>
          <w:tcPr>
            <w:tcW w:w="1080" w:type="dxa"/>
            <w:noWrap w:val="0"/>
            <w:vAlign w:val="center"/>
          </w:tcPr>
          <w:p w14:paraId="2A1DAAB3">
            <w:pPr>
              <w:tabs>
                <w:tab w:val="left" w:pos="1069"/>
                <w:tab w:val="left" w:pos="2352"/>
              </w:tabs>
              <w:spacing w:line="360" w:lineRule="auto"/>
              <w:rPr>
                <w:rFonts w:ascii="宋体" w:hAnsi="宋体" w:cs="宋体"/>
                <w:color w:val="auto"/>
                <w:sz w:val="22"/>
                <w:highlight w:val="none"/>
              </w:rPr>
            </w:pPr>
          </w:p>
        </w:tc>
        <w:tc>
          <w:tcPr>
            <w:tcW w:w="1458" w:type="dxa"/>
            <w:noWrap w:val="0"/>
            <w:vAlign w:val="center"/>
          </w:tcPr>
          <w:p w14:paraId="6FCCA28B">
            <w:pPr>
              <w:tabs>
                <w:tab w:val="left" w:pos="1069"/>
                <w:tab w:val="left" w:pos="2352"/>
              </w:tabs>
              <w:spacing w:line="360" w:lineRule="auto"/>
              <w:rPr>
                <w:rFonts w:ascii="宋体" w:hAnsi="宋体" w:cs="宋体"/>
                <w:color w:val="auto"/>
                <w:sz w:val="22"/>
                <w:highlight w:val="none"/>
              </w:rPr>
            </w:pPr>
          </w:p>
        </w:tc>
        <w:tc>
          <w:tcPr>
            <w:tcW w:w="1560" w:type="dxa"/>
            <w:noWrap w:val="0"/>
            <w:vAlign w:val="center"/>
          </w:tcPr>
          <w:p w14:paraId="5ED1392D">
            <w:pPr>
              <w:tabs>
                <w:tab w:val="left" w:pos="1069"/>
                <w:tab w:val="left" w:pos="2352"/>
              </w:tabs>
              <w:spacing w:line="360" w:lineRule="auto"/>
              <w:rPr>
                <w:rFonts w:ascii="宋体" w:hAnsi="宋体" w:cs="宋体"/>
                <w:color w:val="auto"/>
                <w:sz w:val="22"/>
                <w:highlight w:val="none"/>
              </w:rPr>
            </w:pPr>
          </w:p>
        </w:tc>
      </w:tr>
      <w:tr w14:paraId="334C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noWrap w:val="0"/>
            <w:vAlign w:val="center"/>
          </w:tcPr>
          <w:p w14:paraId="4D3E6EAF">
            <w:pPr>
              <w:tabs>
                <w:tab w:val="left" w:pos="1069"/>
                <w:tab w:val="left" w:pos="2352"/>
              </w:tabs>
              <w:spacing w:line="360" w:lineRule="auto"/>
              <w:rPr>
                <w:rFonts w:ascii="宋体" w:hAnsi="宋体" w:cs="宋体"/>
                <w:color w:val="auto"/>
                <w:sz w:val="22"/>
                <w:highlight w:val="none"/>
              </w:rPr>
            </w:pPr>
          </w:p>
        </w:tc>
        <w:tc>
          <w:tcPr>
            <w:tcW w:w="2520" w:type="dxa"/>
            <w:noWrap w:val="0"/>
            <w:vAlign w:val="center"/>
          </w:tcPr>
          <w:p w14:paraId="2EF428FE">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2253A9B3">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635A5F7F">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3AFE06A7">
            <w:pPr>
              <w:tabs>
                <w:tab w:val="left" w:pos="1069"/>
                <w:tab w:val="left" w:pos="2352"/>
              </w:tabs>
              <w:spacing w:line="360" w:lineRule="auto"/>
              <w:rPr>
                <w:rFonts w:ascii="宋体" w:hAnsi="宋体" w:cs="宋体"/>
                <w:color w:val="auto"/>
                <w:sz w:val="22"/>
                <w:highlight w:val="none"/>
              </w:rPr>
            </w:pPr>
          </w:p>
        </w:tc>
        <w:tc>
          <w:tcPr>
            <w:tcW w:w="1080" w:type="dxa"/>
            <w:noWrap w:val="0"/>
            <w:vAlign w:val="center"/>
          </w:tcPr>
          <w:p w14:paraId="491322D0">
            <w:pPr>
              <w:tabs>
                <w:tab w:val="left" w:pos="1069"/>
                <w:tab w:val="left" w:pos="2352"/>
              </w:tabs>
              <w:spacing w:line="360" w:lineRule="auto"/>
              <w:rPr>
                <w:rFonts w:ascii="宋体" w:hAnsi="宋体" w:cs="宋体"/>
                <w:color w:val="auto"/>
                <w:sz w:val="22"/>
                <w:highlight w:val="none"/>
              </w:rPr>
            </w:pPr>
          </w:p>
        </w:tc>
        <w:tc>
          <w:tcPr>
            <w:tcW w:w="1458" w:type="dxa"/>
            <w:noWrap w:val="0"/>
            <w:vAlign w:val="center"/>
          </w:tcPr>
          <w:p w14:paraId="35AFFE35">
            <w:pPr>
              <w:tabs>
                <w:tab w:val="left" w:pos="1069"/>
                <w:tab w:val="left" w:pos="2352"/>
              </w:tabs>
              <w:spacing w:line="360" w:lineRule="auto"/>
              <w:rPr>
                <w:rFonts w:ascii="宋体" w:hAnsi="宋体" w:cs="宋体"/>
                <w:color w:val="auto"/>
                <w:sz w:val="22"/>
                <w:highlight w:val="none"/>
              </w:rPr>
            </w:pPr>
          </w:p>
        </w:tc>
        <w:tc>
          <w:tcPr>
            <w:tcW w:w="1560" w:type="dxa"/>
            <w:noWrap w:val="0"/>
            <w:vAlign w:val="center"/>
          </w:tcPr>
          <w:p w14:paraId="5D6C4282">
            <w:pPr>
              <w:tabs>
                <w:tab w:val="left" w:pos="1069"/>
                <w:tab w:val="left" w:pos="2352"/>
              </w:tabs>
              <w:spacing w:line="360" w:lineRule="auto"/>
              <w:rPr>
                <w:rFonts w:ascii="宋体" w:hAnsi="宋体" w:cs="宋体"/>
                <w:color w:val="auto"/>
                <w:sz w:val="22"/>
                <w:highlight w:val="none"/>
              </w:rPr>
            </w:pPr>
          </w:p>
        </w:tc>
      </w:tr>
      <w:tr w14:paraId="4293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noWrap w:val="0"/>
            <w:vAlign w:val="center"/>
          </w:tcPr>
          <w:p w14:paraId="480C3195">
            <w:pPr>
              <w:tabs>
                <w:tab w:val="left" w:pos="1069"/>
                <w:tab w:val="left" w:pos="2352"/>
              </w:tabs>
              <w:spacing w:line="360" w:lineRule="auto"/>
              <w:rPr>
                <w:rFonts w:ascii="宋体" w:hAnsi="宋体" w:cs="宋体"/>
                <w:color w:val="auto"/>
                <w:sz w:val="22"/>
                <w:highlight w:val="none"/>
              </w:rPr>
            </w:pPr>
          </w:p>
        </w:tc>
        <w:tc>
          <w:tcPr>
            <w:tcW w:w="2520" w:type="dxa"/>
            <w:noWrap w:val="0"/>
            <w:vAlign w:val="center"/>
          </w:tcPr>
          <w:p w14:paraId="0DBD0A57">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6B1A5AC3">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3F498655">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216DDF3A">
            <w:pPr>
              <w:tabs>
                <w:tab w:val="left" w:pos="1069"/>
                <w:tab w:val="left" w:pos="2352"/>
              </w:tabs>
              <w:spacing w:line="360" w:lineRule="auto"/>
              <w:rPr>
                <w:rFonts w:ascii="宋体" w:hAnsi="宋体" w:cs="宋体"/>
                <w:color w:val="auto"/>
                <w:sz w:val="22"/>
                <w:highlight w:val="none"/>
              </w:rPr>
            </w:pPr>
          </w:p>
        </w:tc>
        <w:tc>
          <w:tcPr>
            <w:tcW w:w="1080" w:type="dxa"/>
            <w:noWrap w:val="0"/>
            <w:vAlign w:val="center"/>
          </w:tcPr>
          <w:p w14:paraId="2E75D509">
            <w:pPr>
              <w:tabs>
                <w:tab w:val="left" w:pos="1069"/>
                <w:tab w:val="left" w:pos="2352"/>
              </w:tabs>
              <w:spacing w:line="360" w:lineRule="auto"/>
              <w:rPr>
                <w:rFonts w:ascii="宋体" w:hAnsi="宋体" w:cs="宋体"/>
                <w:color w:val="auto"/>
                <w:sz w:val="22"/>
                <w:highlight w:val="none"/>
              </w:rPr>
            </w:pPr>
          </w:p>
        </w:tc>
        <w:tc>
          <w:tcPr>
            <w:tcW w:w="1458" w:type="dxa"/>
            <w:noWrap w:val="0"/>
            <w:vAlign w:val="center"/>
          </w:tcPr>
          <w:p w14:paraId="798D3552">
            <w:pPr>
              <w:tabs>
                <w:tab w:val="left" w:pos="1069"/>
                <w:tab w:val="left" w:pos="2352"/>
              </w:tabs>
              <w:spacing w:line="360" w:lineRule="auto"/>
              <w:rPr>
                <w:rFonts w:ascii="宋体" w:hAnsi="宋体" w:cs="宋体"/>
                <w:color w:val="auto"/>
                <w:sz w:val="22"/>
                <w:highlight w:val="none"/>
              </w:rPr>
            </w:pPr>
          </w:p>
        </w:tc>
        <w:tc>
          <w:tcPr>
            <w:tcW w:w="1560" w:type="dxa"/>
            <w:noWrap w:val="0"/>
            <w:vAlign w:val="center"/>
          </w:tcPr>
          <w:p w14:paraId="7917F7A0">
            <w:pPr>
              <w:tabs>
                <w:tab w:val="left" w:pos="1069"/>
                <w:tab w:val="left" w:pos="2352"/>
              </w:tabs>
              <w:spacing w:line="360" w:lineRule="auto"/>
              <w:rPr>
                <w:rFonts w:ascii="宋体" w:hAnsi="宋体" w:cs="宋体"/>
                <w:color w:val="auto"/>
                <w:sz w:val="22"/>
                <w:highlight w:val="none"/>
              </w:rPr>
            </w:pPr>
          </w:p>
        </w:tc>
      </w:tr>
      <w:tr w14:paraId="1F6E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noWrap w:val="0"/>
            <w:vAlign w:val="center"/>
          </w:tcPr>
          <w:p w14:paraId="164A38B0">
            <w:pPr>
              <w:tabs>
                <w:tab w:val="left" w:pos="1069"/>
                <w:tab w:val="left" w:pos="2352"/>
              </w:tabs>
              <w:spacing w:line="360" w:lineRule="auto"/>
              <w:rPr>
                <w:rFonts w:ascii="宋体" w:hAnsi="宋体" w:cs="宋体"/>
                <w:color w:val="auto"/>
                <w:sz w:val="22"/>
                <w:highlight w:val="none"/>
              </w:rPr>
            </w:pPr>
          </w:p>
        </w:tc>
        <w:tc>
          <w:tcPr>
            <w:tcW w:w="2520" w:type="dxa"/>
            <w:noWrap w:val="0"/>
            <w:vAlign w:val="center"/>
          </w:tcPr>
          <w:p w14:paraId="46DB5DA8">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426928E2">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2AE13BB4">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21DC2270">
            <w:pPr>
              <w:tabs>
                <w:tab w:val="left" w:pos="1069"/>
                <w:tab w:val="left" w:pos="2352"/>
              </w:tabs>
              <w:spacing w:line="360" w:lineRule="auto"/>
              <w:rPr>
                <w:rFonts w:ascii="宋体" w:hAnsi="宋体" w:cs="宋体"/>
                <w:color w:val="auto"/>
                <w:sz w:val="22"/>
                <w:highlight w:val="none"/>
              </w:rPr>
            </w:pPr>
          </w:p>
        </w:tc>
        <w:tc>
          <w:tcPr>
            <w:tcW w:w="1080" w:type="dxa"/>
            <w:noWrap w:val="0"/>
            <w:vAlign w:val="center"/>
          </w:tcPr>
          <w:p w14:paraId="237C26A6">
            <w:pPr>
              <w:tabs>
                <w:tab w:val="left" w:pos="1069"/>
                <w:tab w:val="left" w:pos="2352"/>
              </w:tabs>
              <w:spacing w:line="360" w:lineRule="auto"/>
              <w:rPr>
                <w:rFonts w:ascii="宋体" w:hAnsi="宋体" w:cs="宋体"/>
                <w:color w:val="auto"/>
                <w:sz w:val="22"/>
                <w:highlight w:val="none"/>
              </w:rPr>
            </w:pPr>
          </w:p>
        </w:tc>
        <w:tc>
          <w:tcPr>
            <w:tcW w:w="1458" w:type="dxa"/>
            <w:noWrap w:val="0"/>
            <w:vAlign w:val="center"/>
          </w:tcPr>
          <w:p w14:paraId="6999D937">
            <w:pPr>
              <w:tabs>
                <w:tab w:val="left" w:pos="1069"/>
                <w:tab w:val="left" w:pos="2352"/>
              </w:tabs>
              <w:spacing w:line="360" w:lineRule="auto"/>
              <w:rPr>
                <w:rFonts w:ascii="宋体" w:hAnsi="宋体" w:cs="宋体"/>
                <w:color w:val="auto"/>
                <w:sz w:val="22"/>
                <w:highlight w:val="none"/>
              </w:rPr>
            </w:pPr>
          </w:p>
        </w:tc>
        <w:tc>
          <w:tcPr>
            <w:tcW w:w="1560" w:type="dxa"/>
            <w:noWrap w:val="0"/>
            <w:vAlign w:val="center"/>
          </w:tcPr>
          <w:p w14:paraId="491271C8">
            <w:pPr>
              <w:tabs>
                <w:tab w:val="left" w:pos="1069"/>
                <w:tab w:val="left" w:pos="2352"/>
              </w:tabs>
              <w:spacing w:line="360" w:lineRule="auto"/>
              <w:rPr>
                <w:rFonts w:ascii="宋体" w:hAnsi="宋体" w:cs="宋体"/>
                <w:color w:val="auto"/>
                <w:sz w:val="22"/>
                <w:highlight w:val="none"/>
              </w:rPr>
            </w:pPr>
          </w:p>
        </w:tc>
      </w:tr>
      <w:tr w14:paraId="4292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noWrap w:val="0"/>
            <w:vAlign w:val="center"/>
          </w:tcPr>
          <w:p w14:paraId="22EF939E">
            <w:pPr>
              <w:tabs>
                <w:tab w:val="left" w:pos="1069"/>
                <w:tab w:val="left" w:pos="2352"/>
              </w:tabs>
              <w:spacing w:line="360" w:lineRule="auto"/>
              <w:rPr>
                <w:rFonts w:ascii="宋体" w:hAnsi="宋体" w:cs="宋体"/>
                <w:color w:val="auto"/>
                <w:sz w:val="22"/>
                <w:highlight w:val="none"/>
              </w:rPr>
            </w:pPr>
          </w:p>
        </w:tc>
        <w:tc>
          <w:tcPr>
            <w:tcW w:w="2520" w:type="dxa"/>
            <w:noWrap w:val="0"/>
            <w:vAlign w:val="center"/>
          </w:tcPr>
          <w:p w14:paraId="38410AE1">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1C128437">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75A6AD42">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0DA9125A">
            <w:pPr>
              <w:tabs>
                <w:tab w:val="left" w:pos="1069"/>
                <w:tab w:val="left" w:pos="2352"/>
              </w:tabs>
              <w:spacing w:line="360" w:lineRule="auto"/>
              <w:rPr>
                <w:rFonts w:ascii="宋体" w:hAnsi="宋体" w:cs="宋体"/>
                <w:color w:val="auto"/>
                <w:sz w:val="22"/>
                <w:highlight w:val="none"/>
              </w:rPr>
            </w:pPr>
          </w:p>
        </w:tc>
        <w:tc>
          <w:tcPr>
            <w:tcW w:w="1080" w:type="dxa"/>
            <w:noWrap w:val="0"/>
            <w:vAlign w:val="center"/>
          </w:tcPr>
          <w:p w14:paraId="0F366073">
            <w:pPr>
              <w:tabs>
                <w:tab w:val="left" w:pos="1069"/>
                <w:tab w:val="left" w:pos="2352"/>
              </w:tabs>
              <w:spacing w:line="360" w:lineRule="auto"/>
              <w:rPr>
                <w:rFonts w:ascii="宋体" w:hAnsi="宋体" w:cs="宋体"/>
                <w:color w:val="auto"/>
                <w:sz w:val="22"/>
                <w:highlight w:val="none"/>
              </w:rPr>
            </w:pPr>
          </w:p>
        </w:tc>
        <w:tc>
          <w:tcPr>
            <w:tcW w:w="1458" w:type="dxa"/>
            <w:noWrap w:val="0"/>
            <w:vAlign w:val="center"/>
          </w:tcPr>
          <w:p w14:paraId="45A5DAC9">
            <w:pPr>
              <w:tabs>
                <w:tab w:val="left" w:pos="1069"/>
                <w:tab w:val="left" w:pos="2352"/>
              </w:tabs>
              <w:spacing w:line="360" w:lineRule="auto"/>
              <w:rPr>
                <w:rFonts w:ascii="宋体" w:hAnsi="宋体" w:cs="宋体"/>
                <w:color w:val="auto"/>
                <w:sz w:val="22"/>
                <w:highlight w:val="none"/>
              </w:rPr>
            </w:pPr>
          </w:p>
        </w:tc>
        <w:tc>
          <w:tcPr>
            <w:tcW w:w="1560" w:type="dxa"/>
            <w:noWrap w:val="0"/>
            <w:vAlign w:val="center"/>
          </w:tcPr>
          <w:p w14:paraId="64A2D796">
            <w:pPr>
              <w:tabs>
                <w:tab w:val="left" w:pos="1069"/>
                <w:tab w:val="left" w:pos="2352"/>
              </w:tabs>
              <w:spacing w:line="360" w:lineRule="auto"/>
              <w:rPr>
                <w:rFonts w:ascii="宋体" w:hAnsi="宋体" w:cs="宋体"/>
                <w:color w:val="auto"/>
                <w:sz w:val="22"/>
                <w:highlight w:val="none"/>
              </w:rPr>
            </w:pPr>
          </w:p>
        </w:tc>
      </w:tr>
      <w:tr w14:paraId="3626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noWrap w:val="0"/>
            <w:vAlign w:val="center"/>
          </w:tcPr>
          <w:p w14:paraId="1AA89910">
            <w:pPr>
              <w:tabs>
                <w:tab w:val="left" w:pos="1069"/>
                <w:tab w:val="left" w:pos="2352"/>
              </w:tabs>
              <w:spacing w:line="360" w:lineRule="auto"/>
              <w:rPr>
                <w:rFonts w:ascii="宋体" w:hAnsi="宋体" w:cs="宋体"/>
                <w:color w:val="auto"/>
                <w:sz w:val="22"/>
                <w:highlight w:val="none"/>
              </w:rPr>
            </w:pPr>
          </w:p>
        </w:tc>
        <w:tc>
          <w:tcPr>
            <w:tcW w:w="2520" w:type="dxa"/>
            <w:noWrap w:val="0"/>
            <w:vAlign w:val="center"/>
          </w:tcPr>
          <w:p w14:paraId="663787AF">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76E0A219">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3D704400">
            <w:pPr>
              <w:tabs>
                <w:tab w:val="left" w:pos="1069"/>
                <w:tab w:val="left" w:pos="2352"/>
              </w:tabs>
              <w:spacing w:line="360" w:lineRule="auto"/>
              <w:rPr>
                <w:rFonts w:ascii="宋体" w:hAnsi="宋体" w:cs="宋体"/>
                <w:color w:val="auto"/>
                <w:sz w:val="22"/>
                <w:highlight w:val="none"/>
              </w:rPr>
            </w:pPr>
          </w:p>
        </w:tc>
        <w:tc>
          <w:tcPr>
            <w:tcW w:w="720" w:type="dxa"/>
            <w:noWrap w:val="0"/>
            <w:vAlign w:val="center"/>
          </w:tcPr>
          <w:p w14:paraId="50A3F217">
            <w:pPr>
              <w:tabs>
                <w:tab w:val="left" w:pos="1069"/>
                <w:tab w:val="left" w:pos="2352"/>
              </w:tabs>
              <w:spacing w:line="360" w:lineRule="auto"/>
              <w:rPr>
                <w:rFonts w:ascii="宋体" w:hAnsi="宋体" w:cs="宋体"/>
                <w:color w:val="auto"/>
                <w:sz w:val="22"/>
                <w:highlight w:val="none"/>
              </w:rPr>
            </w:pPr>
          </w:p>
        </w:tc>
        <w:tc>
          <w:tcPr>
            <w:tcW w:w="1080" w:type="dxa"/>
            <w:noWrap w:val="0"/>
            <w:vAlign w:val="center"/>
          </w:tcPr>
          <w:p w14:paraId="172EC073">
            <w:pPr>
              <w:tabs>
                <w:tab w:val="left" w:pos="1069"/>
                <w:tab w:val="left" w:pos="2352"/>
              </w:tabs>
              <w:spacing w:line="360" w:lineRule="auto"/>
              <w:rPr>
                <w:rFonts w:ascii="宋体" w:hAnsi="宋体" w:cs="宋体"/>
                <w:color w:val="auto"/>
                <w:sz w:val="22"/>
                <w:highlight w:val="none"/>
              </w:rPr>
            </w:pPr>
          </w:p>
        </w:tc>
        <w:tc>
          <w:tcPr>
            <w:tcW w:w="1458" w:type="dxa"/>
            <w:noWrap w:val="0"/>
            <w:vAlign w:val="center"/>
          </w:tcPr>
          <w:p w14:paraId="5FDC2EFA">
            <w:pPr>
              <w:tabs>
                <w:tab w:val="left" w:pos="1069"/>
                <w:tab w:val="left" w:pos="2352"/>
              </w:tabs>
              <w:spacing w:line="360" w:lineRule="auto"/>
              <w:rPr>
                <w:rFonts w:ascii="宋体" w:hAnsi="宋体" w:cs="宋体"/>
                <w:color w:val="auto"/>
                <w:sz w:val="22"/>
                <w:highlight w:val="none"/>
              </w:rPr>
            </w:pPr>
          </w:p>
        </w:tc>
        <w:tc>
          <w:tcPr>
            <w:tcW w:w="1560" w:type="dxa"/>
            <w:noWrap w:val="0"/>
            <w:vAlign w:val="center"/>
          </w:tcPr>
          <w:p w14:paraId="09B8BDDB">
            <w:pPr>
              <w:tabs>
                <w:tab w:val="left" w:pos="1069"/>
                <w:tab w:val="left" w:pos="2352"/>
              </w:tabs>
              <w:spacing w:line="360" w:lineRule="auto"/>
              <w:rPr>
                <w:rFonts w:ascii="宋体" w:hAnsi="宋体" w:cs="宋体"/>
                <w:color w:val="auto"/>
                <w:sz w:val="22"/>
                <w:highlight w:val="none"/>
              </w:rPr>
            </w:pPr>
          </w:p>
        </w:tc>
      </w:tr>
    </w:tbl>
    <w:p w14:paraId="519F5639">
      <w:pPr>
        <w:tabs>
          <w:tab w:val="left" w:pos="1069"/>
          <w:tab w:val="left" w:pos="2352"/>
        </w:tabs>
        <w:spacing w:line="360" w:lineRule="exact"/>
        <w:ind w:left="985" w:hanging="968" w:hangingChars="440"/>
        <w:rPr>
          <w:rFonts w:ascii="宋体" w:hAnsi="宋体" w:cs="宋体"/>
          <w:color w:val="auto"/>
          <w:sz w:val="22"/>
          <w:highlight w:val="none"/>
        </w:rPr>
      </w:pPr>
      <w:r>
        <w:rPr>
          <w:rFonts w:hint="eastAsia" w:ascii="宋体" w:hAnsi="宋体" w:cs="宋体"/>
          <w:color w:val="auto"/>
          <w:sz w:val="22"/>
          <w:highlight w:val="none"/>
        </w:rPr>
        <w:t>注：  1. 项目负责人及其他服务人员均应列入；</w:t>
      </w:r>
    </w:p>
    <w:p w14:paraId="75A8C2CC">
      <w:pPr>
        <w:tabs>
          <w:tab w:val="left" w:pos="1069"/>
          <w:tab w:val="left" w:pos="2352"/>
        </w:tabs>
        <w:spacing w:line="360" w:lineRule="exact"/>
        <w:ind w:left="718" w:leftChars="321" w:hanging="44" w:hangingChars="20"/>
        <w:rPr>
          <w:rFonts w:ascii="宋体" w:hAnsi="宋体" w:cs="宋体"/>
          <w:color w:val="auto"/>
          <w:sz w:val="22"/>
          <w:highlight w:val="none"/>
        </w:rPr>
      </w:pPr>
      <w:r>
        <w:rPr>
          <w:rFonts w:hint="eastAsia" w:ascii="宋体" w:hAnsi="宋体" w:cs="宋体"/>
          <w:color w:val="auto"/>
          <w:sz w:val="22"/>
          <w:highlight w:val="none"/>
        </w:rPr>
        <w:t>2. 列入本表人员如要更换，需经采购人同意，擅自更换或不到位属违约行为；</w:t>
      </w:r>
    </w:p>
    <w:p w14:paraId="745F249E">
      <w:pPr>
        <w:tabs>
          <w:tab w:val="left" w:pos="1069"/>
          <w:tab w:val="left" w:pos="2352"/>
        </w:tabs>
        <w:spacing w:line="360" w:lineRule="exact"/>
        <w:ind w:left="718" w:leftChars="321" w:hanging="44" w:hangingChars="20"/>
        <w:rPr>
          <w:rFonts w:ascii="宋体" w:hAnsi="宋体" w:cs="宋体"/>
          <w:color w:val="auto"/>
          <w:sz w:val="22"/>
          <w:highlight w:val="none"/>
        </w:rPr>
      </w:pPr>
      <w:r>
        <w:rPr>
          <w:rFonts w:hint="eastAsia" w:ascii="宋体" w:hAnsi="宋体" w:cs="宋体"/>
          <w:color w:val="auto"/>
          <w:sz w:val="22"/>
          <w:highlight w:val="none"/>
        </w:rPr>
        <w:t>3. 职称证书、执业资格证书、职业水平证书等人员证件复印件附后（如有）。</w:t>
      </w:r>
    </w:p>
    <w:p w14:paraId="030E7EF6">
      <w:pPr>
        <w:tabs>
          <w:tab w:val="left" w:pos="1069"/>
          <w:tab w:val="left" w:pos="2352"/>
        </w:tabs>
        <w:spacing w:line="360" w:lineRule="exact"/>
        <w:ind w:left="718" w:leftChars="321" w:hanging="44" w:hangingChars="20"/>
        <w:rPr>
          <w:rFonts w:ascii="宋体" w:hAnsi="宋体" w:cs="宋体"/>
          <w:color w:val="auto"/>
          <w:sz w:val="22"/>
          <w:highlight w:val="none"/>
        </w:rPr>
      </w:pPr>
      <w:r>
        <w:rPr>
          <w:rFonts w:hint="eastAsia" w:ascii="宋体" w:hAnsi="宋体" w:cs="宋体"/>
          <w:color w:val="auto"/>
          <w:sz w:val="22"/>
          <w:highlight w:val="none"/>
        </w:rPr>
        <w:t>4.表格可以延续。</w:t>
      </w:r>
    </w:p>
    <w:p w14:paraId="46EC43CE">
      <w:pPr>
        <w:pStyle w:val="19"/>
        <w:tabs>
          <w:tab w:val="left" w:pos="1069"/>
          <w:tab w:val="left" w:pos="2352"/>
        </w:tabs>
        <w:spacing w:line="440" w:lineRule="atLeast"/>
        <w:rPr>
          <w:rFonts w:hAnsi="宋体" w:cs="宋体"/>
          <w:color w:val="auto"/>
          <w:sz w:val="22"/>
          <w:szCs w:val="22"/>
          <w:highlight w:val="none"/>
        </w:rPr>
      </w:pPr>
      <w:r>
        <w:rPr>
          <w:rFonts w:hint="eastAsia" w:hAnsi="宋体" w:cs="宋体"/>
          <w:color w:val="auto"/>
          <w:sz w:val="22"/>
          <w:szCs w:val="22"/>
          <w:highlight w:val="none"/>
        </w:rPr>
        <w:t>供应商全称：（盖章）</w:t>
      </w:r>
    </w:p>
    <w:p w14:paraId="52CEA1D5">
      <w:pPr>
        <w:pStyle w:val="19"/>
        <w:tabs>
          <w:tab w:val="left" w:pos="1069"/>
          <w:tab w:val="left" w:pos="2352"/>
        </w:tabs>
        <w:spacing w:line="440" w:lineRule="atLeast"/>
        <w:rPr>
          <w:rFonts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37E5FE75">
      <w:pPr>
        <w:pStyle w:val="19"/>
        <w:tabs>
          <w:tab w:val="left" w:pos="1069"/>
          <w:tab w:val="left" w:pos="2352"/>
        </w:tabs>
        <w:spacing w:line="360" w:lineRule="exact"/>
        <w:jc w:val="left"/>
        <w:rPr>
          <w:rFonts w:hAnsi="宋体" w:cs="宋体"/>
          <w:color w:val="auto"/>
          <w:sz w:val="22"/>
          <w:szCs w:val="22"/>
          <w:highlight w:val="none"/>
        </w:rPr>
      </w:pPr>
      <w:r>
        <w:rPr>
          <w:rFonts w:hint="eastAsia" w:hAnsi="宋体" w:cs="宋体"/>
          <w:color w:val="auto"/>
          <w:sz w:val="22"/>
          <w:szCs w:val="22"/>
          <w:highlight w:val="none"/>
        </w:rPr>
        <w:t>日期：</w:t>
      </w:r>
    </w:p>
    <w:p w14:paraId="2B4737D7">
      <w:pPr>
        <w:tabs>
          <w:tab w:val="left" w:pos="1069"/>
          <w:tab w:val="left" w:pos="2352"/>
        </w:tabs>
        <w:spacing w:line="360" w:lineRule="exact"/>
        <w:jc w:val="left"/>
        <w:rPr>
          <w:rFonts w:ascii="宋体" w:hAnsi="宋体" w:cs="宋体"/>
          <w:b/>
          <w:bCs/>
          <w:color w:val="auto"/>
          <w:sz w:val="30"/>
          <w:highlight w:val="none"/>
        </w:rPr>
      </w:pPr>
    </w:p>
    <w:p w14:paraId="1D0DE9EB">
      <w:pPr>
        <w:pStyle w:val="14"/>
      </w:pPr>
    </w:p>
    <w:p w14:paraId="665B0AA5">
      <w:pPr>
        <w:tabs>
          <w:tab w:val="left" w:pos="1069"/>
          <w:tab w:val="left" w:pos="2352"/>
        </w:tabs>
        <w:spacing w:line="360" w:lineRule="exact"/>
        <w:jc w:val="left"/>
        <w:rPr>
          <w:rFonts w:hint="eastAsia" w:ascii="宋体" w:hAnsi="宋体" w:eastAsia="宋体" w:cs="宋体"/>
          <w:b/>
          <w:bCs/>
          <w:color w:val="auto"/>
          <w:szCs w:val="21"/>
          <w:highlight w:val="none"/>
          <w:lang w:eastAsia="zh-CN"/>
        </w:rPr>
      </w:pPr>
      <w:r>
        <w:rPr>
          <w:rFonts w:hint="eastAsia" w:ascii="宋体" w:hAnsi="宋体" w:cs="宋体"/>
          <w:b/>
          <w:bCs/>
          <w:color w:val="auto"/>
          <w:sz w:val="30"/>
          <w:highlight w:val="none"/>
        </w:rPr>
        <w:t>附件十</w:t>
      </w:r>
      <w:r>
        <w:rPr>
          <w:rFonts w:hint="eastAsia" w:ascii="宋体" w:hAnsi="宋体" w:cs="宋体"/>
          <w:b/>
          <w:bCs/>
          <w:color w:val="auto"/>
          <w:sz w:val="30"/>
          <w:highlight w:val="none"/>
          <w:lang w:val="en-US" w:eastAsia="zh-CN"/>
        </w:rPr>
        <w:t>五</w:t>
      </w:r>
    </w:p>
    <w:p w14:paraId="57F54280">
      <w:pPr>
        <w:tabs>
          <w:tab w:val="left" w:pos="1069"/>
          <w:tab w:val="left" w:pos="2352"/>
        </w:tabs>
        <w:autoSpaceDE w:val="0"/>
        <w:autoSpaceDN w:val="0"/>
        <w:adjustRightInd w:val="0"/>
        <w:spacing w:line="500" w:lineRule="atLeast"/>
        <w:jc w:val="center"/>
        <w:rPr>
          <w:rFonts w:ascii="宋体" w:hAnsi="宋体" w:cs="宋体"/>
          <w:b/>
          <w:bCs/>
          <w:color w:val="auto"/>
          <w:sz w:val="32"/>
          <w:highlight w:val="none"/>
        </w:rPr>
      </w:pPr>
      <w:bookmarkStart w:id="228" w:name="_Toc28287_WPSOffice_Level3"/>
      <w:r>
        <w:rPr>
          <w:rFonts w:hint="eastAsia" w:ascii="宋体" w:hAnsi="宋体" w:cs="宋体"/>
          <w:b/>
          <w:bCs/>
          <w:color w:val="auto"/>
          <w:sz w:val="32"/>
          <w:highlight w:val="none"/>
        </w:rPr>
        <w:t>供应商项目业绩清单</w:t>
      </w:r>
      <w:bookmarkEnd w:id="228"/>
    </w:p>
    <w:p w14:paraId="4B6E4106">
      <w:pPr>
        <w:pStyle w:val="19"/>
        <w:tabs>
          <w:tab w:val="left" w:pos="1069"/>
          <w:tab w:val="left" w:pos="2352"/>
        </w:tabs>
        <w:spacing w:line="360" w:lineRule="exact"/>
        <w:jc w:val="center"/>
        <w:rPr>
          <w:rFonts w:hAnsi="宋体" w:cs="宋体"/>
          <w:color w:val="auto"/>
          <w:sz w:val="22"/>
          <w:highlight w:val="none"/>
        </w:rPr>
      </w:pPr>
    </w:p>
    <w:tbl>
      <w:tblPr>
        <w:tblStyle w:val="38"/>
        <w:tblW w:w="0" w:type="auto"/>
        <w:tblInd w:w="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24C8509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c>
          <w:tcPr>
            <w:tcW w:w="756" w:type="dxa"/>
            <w:tcBorders>
              <w:top w:val="double" w:color="000000" w:sz="6" w:space="0"/>
            </w:tcBorders>
            <w:noWrap w:val="0"/>
            <w:vAlign w:val="top"/>
          </w:tcPr>
          <w:p w14:paraId="347FE21D">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序号</w:t>
            </w:r>
          </w:p>
        </w:tc>
        <w:tc>
          <w:tcPr>
            <w:tcW w:w="1153" w:type="dxa"/>
            <w:tcBorders>
              <w:top w:val="double" w:color="000000" w:sz="6" w:space="0"/>
            </w:tcBorders>
            <w:noWrap w:val="0"/>
            <w:vAlign w:val="top"/>
          </w:tcPr>
          <w:p w14:paraId="35322B7A">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采购</w:t>
            </w:r>
          </w:p>
          <w:p w14:paraId="1B5F6CD4">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单位</w:t>
            </w:r>
          </w:p>
        </w:tc>
        <w:tc>
          <w:tcPr>
            <w:tcW w:w="1154" w:type="dxa"/>
            <w:tcBorders>
              <w:top w:val="double" w:color="000000" w:sz="6" w:space="0"/>
            </w:tcBorders>
            <w:noWrap w:val="0"/>
            <w:vAlign w:val="top"/>
          </w:tcPr>
          <w:p w14:paraId="79F324CD">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项目</w:t>
            </w:r>
          </w:p>
          <w:p w14:paraId="66B7484F">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名称</w:t>
            </w:r>
          </w:p>
        </w:tc>
        <w:tc>
          <w:tcPr>
            <w:tcW w:w="1154" w:type="dxa"/>
            <w:tcBorders>
              <w:top w:val="double" w:color="000000" w:sz="6" w:space="0"/>
            </w:tcBorders>
            <w:noWrap w:val="0"/>
            <w:vAlign w:val="top"/>
          </w:tcPr>
          <w:p w14:paraId="1D39E12D">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数量</w:t>
            </w:r>
          </w:p>
        </w:tc>
        <w:tc>
          <w:tcPr>
            <w:tcW w:w="1154" w:type="dxa"/>
            <w:tcBorders>
              <w:top w:val="double" w:color="000000" w:sz="6" w:space="0"/>
            </w:tcBorders>
            <w:noWrap w:val="0"/>
            <w:vAlign w:val="top"/>
          </w:tcPr>
          <w:p w14:paraId="7311CBB6">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合同</w:t>
            </w:r>
          </w:p>
          <w:p w14:paraId="726FF84E">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金额</w:t>
            </w:r>
          </w:p>
        </w:tc>
        <w:tc>
          <w:tcPr>
            <w:tcW w:w="1154" w:type="dxa"/>
            <w:tcBorders>
              <w:top w:val="double" w:color="000000" w:sz="6" w:space="0"/>
            </w:tcBorders>
            <w:noWrap w:val="0"/>
            <w:vAlign w:val="top"/>
          </w:tcPr>
          <w:p w14:paraId="06B50570">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签约</w:t>
            </w:r>
          </w:p>
          <w:p w14:paraId="6EF6B091">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日期</w:t>
            </w:r>
          </w:p>
        </w:tc>
        <w:tc>
          <w:tcPr>
            <w:tcW w:w="1154" w:type="dxa"/>
            <w:tcBorders>
              <w:top w:val="double" w:color="000000" w:sz="6" w:space="0"/>
            </w:tcBorders>
            <w:noWrap w:val="0"/>
            <w:vAlign w:val="top"/>
          </w:tcPr>
          <w:p w14:paraId="356A0E94">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联系人</w:t>
            </w:r>
          </w:p>
        </w:tc>
        <w:tc>
          <w:tcPr>
            <w:tcW w:w="1154" w:type="dxa"/>
            <w:tcBorders>
              <w:top w:val="double" w:color="000000" w:sz="6" w:space="0"/>
            </w:tcBorders>
            <w:noWrap w:val="0"/>
            <w:vAlign w:val="top"/>
          </w:tcPr>
          <w:p w14:paraId="37AB6664">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w:t>
            </w:r>
          </w:p>
          <w:p w14:paraId="4CE08602">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电话</w:t>
            </w:r>
          </w:p>
        </w:tc>
        <w:tc>
          <w:tcPr>
            <w:tcW w:w="770" w:type="dxa"/>
            <w:tcBorders>
              <w:top w:val="double" w:color="000000" w:sz="6" w:space="0"/>
            </w:tcBorders>
            <w:noWrap w:val="0"/>
            <w:vAlign w:val="top"/>
          </w:tcPr>
          <w:p w14:paraId="03C348A9">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r>
      <w:tr w14:paraId="7195790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1500095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noWrap w:val="0"/>
            <w:vAlign w:val="top"/>
          </w:tcPr>
          <w:p w14:paraId="7F07F75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5F59A06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62C10E7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146BAE3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20728BA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71622D6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142F2DE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noWrap w:val="0"/>
            <w:vAlign w:val="top"/>
          </w:tcPr>
          <w:p w14:paraId="2BFAA17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66C05EB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0CCECEE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noWrap w:val="0"/>
            <w:vAlign w:val="top"/>
          </w:tcPr>
          <w:p w14:paraId="4D5D5B4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1949E52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0C22B5B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29E9989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2ED7B71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03F3FB6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41E3A28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noWrap w:val="0"/>
            <w:vAlign w:val="top"/>
          </w:tcPr>
          <w:p w14:paraId="6557B29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717477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62EA4C3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noWrap w:val="0"/>
            <w:vAlign w:val="top"/>
          </w:tcPr>
          <w:p w14:paraId="34C5292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0701CFE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4969086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1748400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5581A12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7C72961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39F7F21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noWrap w:val="0"/>
            <w:vAlign w:val="top"/>
          </w:tcPr>
          <w:p w14:paraId="3B3885D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4C8DF91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647BD5F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noWrap w:val="0"/>
            <w:vAlign w:val="top"/>
          </w:tcPr>
          <w:p w14:paraId="589E4FB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4240B26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24FB2C8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2E265CE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72E32A2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3CA5670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3592132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noWrap w:val="0"/>
            <w:vAlign w:val="top"/>
          </w:tcPr>
          <w:p w14:paraId="73F0B89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15509EE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3039193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noWrap w:val="0"/>
            <w:vAlign w:val="top"/>
          </w:tcPr>
          <w:p w14:paraId="3AFD78A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65B8DBF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2502799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154E6D0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2A0F91A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392306D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40F9219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noWrap w:val="0"/>
            <w:vAlign w:val="top"/>
          </w:tcPr>
          <w:p w14:paraId="45BA71B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44A4B26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3AAC47F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noWrap w:val="0"/>
            <w:vAlign w:val="top"/>
          </w:tcPr>
          <w:p w14:paraId="5920213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18382D1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779629C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4FE45C8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36A9182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4379551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6C0A61B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noWrap w:val="0"/>
            <w:vAlign w:val="top"/>
          </w:tcPr>
          <w:p w14:paraId="0AEA346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5CE0057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279F437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noWrap w:val="0"/>
            <w:vAlign w:val="top"/>
          </w:tcPr>
          <w:p w14:paraId="3E41410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7950875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69EF3DE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21B12A9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1304138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70A5584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7C37E2E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noWrap w:val="0"/>
            <w:vAlign w:val="top"/>
          </w:tcPr>
          <w:p w14:paraId="684D0C1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0E92CF7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636FF58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noWrap w:val="0"/>
            <w:vAlign w:val="top"/>
          </w:tcPr>
          <w:p w14:paraId="43B9497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5BBE754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1B99CBC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00FA539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01FD50F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0B749B2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728020B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noWrap w:val="0"/>
            <w:vAlign w:val="top"/>
          </w:tcPr>
          <w:p w14:paraId="02EC12F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609FB98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07D6BA0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noWrap w:val="0"/>
            <w:vAlign w:val="top"/>
          </w:tcPr>
          <w:p w14:paraId="323554C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2A8E363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1BFDBB4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77A5DE4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2844523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2EEF9F3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4AF117A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noWrap w:val="0"/>
            <w:vAlign w:val="top"/>
          </w:tcPr>
          <w:p w14:paraId="0AFC3D0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0EA09F0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2742D02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noWrap w:val="0"/>
            <w:vAlign w:val="top"/>
          </w:tcPr>
          <w:p w14:paraId="5391117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48076CD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79AB0C5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2CEA69B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360F44A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2212353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01257DB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noWrap w:val="0"/>
            <w:vAlign w:val="top"/>
          </w:tcPr>
          <w:p w14:paraId="2C2D860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6D7F99D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03213F8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noWrap w:val="0"/>
            <w:vAlign w:val="top"/>
          </w:tcPr>
          <w:p w14:paraId="038543F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46AE6DA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58EE054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43777B2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24A20FA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0328741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0C76002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noWrap w:val="0"/>
            <w:vAlign w:val="top"/>
          </w:tcPr>
          <w:p w14:paraId="2CE4BEA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5236880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5CB945B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noWrap w:val="0"/>
            <w:vAlign w:val="top"/>
          </w:tcPr>
          <w:p w14:paraId="524C70D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70E6DCB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4FD50CB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64E4A59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254D4FE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6A3C654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2C6D067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noWrap w:val="0"/>
            <w:vAlign w:val="top"/>
          </w:tcPr>
          <w:p w14:paraId="1159F3B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2C5BD6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026EB3B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noWrap w:val="0"/>
            <w:vAlign w:val="top"/>
          </w:tcPr>
          <w:p w14:paraId="390ED00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4695C33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158DB2D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4471B20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3E0A6BB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6EAF781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4256CAE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noWrap w:val="0"/>
            <w:vAlign w:val="top"/>
          </w:tcPr>
          <w:p w14:paraId="0916014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11C9C26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50A60AC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noWrap w:val="0"/>
            <w:vAlign w:val="top"/>
          </w:tcPr>
          <w:p w14:paraId="7574B89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59DC2C8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2C46711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08E4C1D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7202393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27F0596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149AC2F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noWrap w:val="0"/>
            <w:vAlign w:val="top"/>
          </w:tcPr>
          <w:p w14:paraId="60966DD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4E26DCB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6016084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noWrap w:val="0"/>
            <w:vAlign w:val="top"/>
          </w:tcPr>
          <w:p w14:paraId="2997492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2239757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21BF377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5818110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36353D5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269904A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39EAA9D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noWrap w:val="0"/>
            <w:vAlign w:val="top"/>
          </w:tcPr>
          <w:p w14:paraId="33188FB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6A539DC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41B9A72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noWrap w:val="0"/>
            <w:vAlign w:val="top"/>
          </w:tcPr>
          <w:p w14:paraId="1EF0ED5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6D36AA3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21BC4FD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1D1C25E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486AF5C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58A1C1C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3C11A86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noWrap w:val="0"/>
            <w:vAlign w:val="top"/>
          </w:tcPr>
          <w:p w14:paraId="6A38F06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4CB7904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137262F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noWrap w:val="0"/>
            <w:vAlign w:val="top"/>
          </w:tcPr>
          <w:p w14:paraId="7B9829C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14E0996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28CCF91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4C334C1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24E30B4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063B516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5876803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noWrap w:val="0"/>
            <w:vAlign w:val="top"/>
          </w:tcPr>
          <w:p w14:paraId="0DBED59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0C54F84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5D9808F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noWrap w:val="0"/>
            <w:vAlign w:val="top"/>
          </w:tcPr>
          <w:p w14:paraId="75C88DF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1BA87DC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712BC0D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4FB757D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7656C70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4DC92C8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4050BEA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noWrap w:val="0"/>
            <w:vAlign w:val="top"/>
          </w:tcPr>
          <w:p w14:paraId="1C5E39C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6F96A97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34313CF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noWrap w:val="0"/>
            <w:vAlign w:val="top"/>
          </w:tcPr>
          <w:p w14:paraId="1F1C1AB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75DC0EF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0B68301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018D644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351CBF8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2944FF9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3BD4DB1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noWrap w:val="0"/>
            <w:vAlign w:val="top"/>
          </w:tcPr>
          <w:p w14:paraId="211B871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3D842F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noWrap w:val="0"/>
            <w:vAlign w:val="top"/>
          </w:tcPr>
          <w:p w14:paraId="5E6D877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noWrap w:val="0"/>
            <w:vAlign w:val="top"/>
          </w:tcPr>
          <w:p w14:paraId="6E5313F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5AD6D25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5525654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7DFDFAB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21F603C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4F46723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noWrap w:val="0"/>
            <w:vAlign w:val="top"/>
          </w:tcPr>
          <w:p w14:paraId="247F116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noWrap w:val="0"/>
            <w:vAlign w:val="top"/>
          </w:tcPr>
          <w:p w14:paraId="493BA59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0058094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noWrap w:val="0"/>
            <w:vAlign w:val="top"/>
          </w:tcPr>
          <w:p w14:paraId="5DDCD61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bottom w:val="double" w:color="000000" w:sz="6" w:space="0"/>
            </w:tcBorders>
            <w:noWrap w:val="0"/>
            <w:vAlign w:val="top"/>
          </w:tcPr>
          <w:p w14:paraId="5A0A878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noWrap w:val="0"/>
            <w:vAlign w:val="top"/>
          </w:tcPr>
          <w:p w14:paraId="7760C7C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noWrap w:val="0"/>
            <w:vAlign w:val="top"/>
          </w:tcPr>
          <w:p w14:paraId="4E8595A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noWrap w:val="0"/>
            <w:vAlign w:val="top"/>
          </w:tcPr>
          <w:p w14:paraId="6828766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noWrap w:val="0"/>
            <w:vAlign w:val="top"/>
          </w:tcPr>
          <w:p w14:paraId="4FA030A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noWrap w:val="0"/>
            <w:vAlign w:val="top"/>
          </w:tcPr>
          <w:p w14:paraId="439F4EC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noWrap w:val="0"/>
            <w:vAlign w:val="top"/>
          </w:tcPr>
          <w:p w14:paraId="1B6D538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bottom w:val="double" w:color="000000" w:sz="6" w:space="0"/>
            </w:tcBorders>
            <w:noWrap w:val="0"/>
            <w:vAlign w:val="top"/>
          </w:tcPr>
          <w:p w14:paraId="6D865A1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bl>
    <w:p w14:paraId="419BB3DF">
      <w:pPr>
        <w:pStyle w:val="19"/>
        <w:tabs>
          <w:tab w:val="left" w:pos="1069"/>
          <w:tab w:val="left" w:pos="2352"/>
        </w:tabs>
        <w:spacing w:line="360" w:lineRule="exact"/>
        <w:rPr>
          <w:rFonts w:hAnsi="宋体" w:cs="宋体"/>
          <w:b/>
          <w:bCs/>
          <w:color w:val="auto"/>
          <w:sz w:val="32"/>
          <w:highlight w:val="none"/>
        </w:rPr>
      </w:pPr>
      <w:r>
        <w:rPr>
          <w:rFonts w:hint="eastAsia" w:hAnsi="宋体" w:cs="宋体"/>
          <w:color w:val="auto"/>
          <w:sz w:val="22"/>
          <w:highlight w:val="none"/>
        </w:rPr>
        <w:t>本表后附相关证明材料，证明材料以第七部分评审细则中的要求为准。</w:t>
      </w:r>
    </w:p>
    <w:p w14:paraId="7D5FACC5">
      <w:pPr>
        <w:tabs>
          <w:tab w:val="left" w:pos="1069"/>
          <w:tab w:val="left" w:pos="2352"/>
        </w:tabs>
        <w:rPr>
          <w:rFonts w:ascii="宋体" w:hAnsi="宋体" w:cs="宋体"/>
          <w:color w:val="auto"/>
          <w:spacing w:val="20"/>
          <w:sz w:val="22"/>
          <w:highlight w:val="none"/>
        </w:rPr>
      </w:pPr>
    </w:p>
    <w:p w14:paraId="62D6C7B9">
      <w:pPr>
        <w:tabs>
          <w:tab w:val="left" w:pos="1069"/>
          <w:tab w:val="left" w:pos="2352"/>
        </w:tabs>
        <w:rPr>
          <w:rFonts w:ascii="宋体" w:hAnsi="宋体" w:cs="宋体"/>
          <w:color w:val="auto"/>
          <w:sz w:val="36"/>
          <w:szCs w:val="36"/>
          <w:highlight w:val="none"/>
        </w:rPr>
      </w:pPr>
      <w:r>
        <w:rPr>
          <w:rFonts w:hint="eastAsia" w:ascii="宋体" w:hAnsi="宋体" w:cs="宋体"/>
          <w:color w:val="auto"/>
          <w:spacing w:val="20"/>
          <w:sz w:val="22"/>
          <w:highlight w:val="none"/>
        </w:rPr>
        <w:t>供应商盖章：</w:t>
      </w:r>
    </w:p>
    <w:p w14:paraId="6CEF9F25">
      <w:pPr>
        <w:tabs>
          <w:tab w:val="left" w:pos="1069"/>
          <w:tab w:val="left" w:pos="2352"/>
        </w:tabs>
        <w:spacing w:line="400" w:lineRule="exact"/>
        <w:jc w:val="left"/>
        <w:rPr>
          <w:rFonts w:hint="eastAsia" w:ascii="宋体" w:hAnsi="宋体" w:cs="宋体"/>
          <w:b/>
          <w:bCs/>
          <w:color w:val="auto"/>
          <w:sz w:val="30"/>
          <w:highlight w:val="none"/>
        </w:rPr>
      </w:pPr>
    </w:p>
    <w:p w14:paraId="6F469D39">
      <w:pPr>
        <w:tabs>
          <w:tab w:val="left" w:pos="1069"/>
          <w:tab w:val="left" w:pos="2352"/>
        </w:tabs>
        <w:spacing w:line="400" w:lineRule="exact"/>
        <w:jc w:val="left"/>
        <w:rPr>
          <w:rFonts w:hint="eastAsia" w:ascii="宋体" w:hAnsi="宋体" w:cs="宋体"/>
          <w:b/>
          <w:bCs/>
          <w:color w:val="auto"/>
          <w:sz w:val="30"/>
          <w:highlight w:val="none"/>
        </w:rPr>
      </w:pPr>
    </w:p>
    <w:p w14:paraId="62A30D13">
      <w:pPr>
        <w:tabs>
          <w:tab w:val="left" w:pos="1069"/>
          <w:tab w:val="left" w:pos="2352"/>
        </w:tabs>
        <w:spacing w:line="400" w:lineRule="exact"/>
        <w:jc w:val="left"/>
        <w:rPr>
          <w:rFonts w:hint="eastAsia" w:ascii="宋体" w:hAnsi="宋体" w:cs="宋体"/>
          <w:b/>
          <w:bCs/>
          <w:color w:val="auto"/>
          <w:sz w:val="30"/>
          <w:highlight w:val="none"/>
        </w:rPr>
      </w:pPr>
    </w:p>
    <w:p w14:paraId="44AFA087">
      <w:pPr>
        <w:tabs>
          <w:tab w:val="left" w:pos="1069"/>
          <w:tab w:val="left" w:pos="2352"/>
        </w:tabs>
        <w:spacing w:line="400" w:lineRule="exact"/>
        <w:jc w:val="left"/>
        <w:rPr>
          <w:rFonts w:hint="eastAsia" w:ascii="宋体" w:hAnsi="宋体" w:cs="宋体"/>
          <w:b/>
          <w:bCs/>
          <w:color w:val="auto"/>
          <w:sz w:val="30"/>
          <w:highlight w:val="none"/>
        </w:rPr>
      </w:pPr>
    </w:p>
    <w:p w14:paraId="6422CF75">
      <w:pPr>
        <w:spacing w:line="440" w:lineRule="exact"/>
        <w:jc w:val="center"/>
        <w:outlineLvl w:val="0"/>
        <w:rPr>
          <w:rFonts w:hint="eastAsia" w:ascii="宋体"/>
          <w:sz w:val="36"/>
          <w:szCs w:val="36"/>
        </w:rPr>
      </w:pPr>
      <w:r>
        <w:rPr>
          <w:rFonts w:hint="eastAsia" w:ascii="宋体"/>
          <w:sz w:val="36"/>
          <w:szCs w:val="36"/>
        </w:rPr>
        <w:t>评分对应表（参考）</w:t>
      </w:r>
    </w:p>
    <w:p w14:paraId="352CC5C3">
      <w:pPr>
        <w:spacing w:line="440" w:lineRule="exact"/>
        <w:jc w:val="center"/>
        <w:rPr>
          <w:rFonts w:ascii="宋体"/>
          <w:sz w:val="36"/>
          <w:szCs w:val="36"/>
        </w:rPr>
      </w:pPr>
      <w:r>
        <w:rPr>
          <w:rFonts w:hint="eastAsia" w:ascii="宋体"/>
          <w:sz w:val="24"/>
        </w:rPr>
        <w:t>置于目录处</w:t>
      </w:r>
    </w:p>
    <w:p w14:paraId="191A7FAD">
      <w:pPr>
        <w:spacing w:line="440" w:lineRule="exact"/>
        <w:ind w:firstLine="360"/>
        <w:jc w:val="right"/>
        <w:rPr>
          <w:rFonts w:ascii="宋体" w:hAnsi="宋体"/>
          <w:b/>
          <w:bCs/>
          <w:sz w:val="24"/>
        </w:rPr>
      </w:pPr>
      <w:r>
        <w:rPr>
          <w:rFonts w:hint="eastAsia" w:ascii="宋体" w:hAnsi="宋体"/>
          <w:b/>
          <w:bCs/>
          <w:sz w:val="24"/>
        </w:rPr>
        <w:t xml:space="preserve">                                  </w:t>
      </w:r>
    </w:p>
    <w:tbl>
      <w:tblPr>
        <w:tblStyle w:val="38"/>
        <w:tblpPr w:leftFromText="180" w:rightFromText="180" w:vertAnchor="text" w:horzAnchor="page" w:tblpX="1172" w:tblpY="424"/>
        <w:tblOverlap w:val="never"/>
        <w:tblW w:w="0" w:type="auto"/>
        <w:tblInd w:w="0" w:type="dxa"/>
        <w:tblLayout w:type="fixed"/>
        <w:tblCellMar>
          <w:top w:w="0" w:type="dxa"/>
          <w:left w:w="108" w:type="dxa"/>
          <w:bottom w:w="0" w:type="dxa"/>
          <w:right w:w="108" w:type="dxa"/>
        </w:tblCellMar>
      </w:tblPr>
      <w:tblGrid>
        <w:gridCol w:w="2004"/>
        <w:gridCol w:w="3446"/>
        <w:gridCol w:w="4268"/>
      </w:tblGrid>
      <w:tr w14:paraId="02CE8E2A">
        <w:tblPrEx>
          <w:tblCellMar>
            <w:top w:w="0" w:type="dxa"/>
            <w:left w:w="108" w:type="dxa"/>
            <w:bottom w:w="0" w:type="dxa"/>
            <w:right w:w="108" w:type="dxa"/>
          </w:tblCellMar>
        </w:tblPrEx>
        <w:trPr>
          <w:trHeight w:val="472" w:hRule="atLeast"/>
        </w:trPr>
        <w:tc>
          <w:tcPr>
            <w:tcW w:w="2004" w:type="dxa"/>
            <w:tcBorders>
              <w:top w:val="single" w:color="000000" w:sz="4" w:space="0"/>
              <w:left w:val="single" w:color="000000" w:sz="4" w:space="0"/>
              <w:bottom w:val="single" w:color="000000" w:sz="4" w:space="0"/>
              <w:right w:val="single" w:color="000000" w:sz="4" w:space="0"/>
            </w:tcBorders>
            <w:noWrap w:val="0"/>
            <w:vAlign w:val="center"/>
          </w:tcPr>
          <w:p w14:paraId="1F04B0F2">
            <w:pPr>
              <w:pStyle w:val="32"/>
              <w:ind w:firstLine="0" w:firstLineChars="0"/>
              <w:jc w:val="center"/>
              <w:rPr>
                <w:rFonts w:hint="eastAsia" w:ascii="宋体" w:eastAsia="宋体" w:cs="宋体"/>
                <w:bCs/>
                <w:sz w:val="22"/>
                <w:szCs w:val="22"/>
              </w:rPr>
            </w:pPr>
            <w:r>
              <w:rPr>
                <w:rFonts w:hint="eastAsia" w:ascii="宋体" w:eastAsia="宋体" w:cs="宋体"/>
                <w:bCs/>
                <w:sz w:val="22"/>
                <w:szCs w:val="22"/>
              </w:rPr>
              <w:t>序号</w:t>
            </w:r>
          </w:p>
        </w:tc>
        <w:tc>
          <w:tcPr>
            <w:tcW w:w="3446" w:type="dxa"/>
            <w:tcBorders>
              <w:top w:val="single" w:color="000000" w:sz="4" w:space="0"/>
              <w:left w:val="nil"/>
              <w:bottom w:val="single" w:color="000000" w:sz="4" w:space="0"/>
              <w:right w:val="single" w:color="000000" w:sz="4" w:space="0"/>
            </w:tcBorders>
            <w:noWrap w:val="0"/>
            <w:vAlign w:val="center"/>
          </w:tcPr>
          <w:p w14:paraId="100AE7AB">
            <w:pPr>
              <w:pStyle w:val="32"/>
              <w:ind w:firstLine="0" w:firstLineChars="0"/>
              <w:jc w:val="center"/>
              <w:rPr>
                <w:rFonts w:hint="eastAsia" w:ascii="宋体" w:eastAsia="宋体" w:cs="宋体"/>
                <w:bCs/>
                <w:sz w:val="22"/>
                <w:szCs w:val="22"/>
              </w:rPr>
            </w:pPr>
            <w:r>
              <w:rPr>
                <w:rFonts w:hint="eastAsia" w:ascii="宋体" w:eastAsia="宋体" w:cs="宋体"/>
                <w:bCs/>
                <w:sz w:val="22"/>
                <w:szCs w:val="22"/>
              </w:rPr>
              <w:t>评分标准</w:t>
            </w:r>
          </w:p>
        </w:tc>
        <w:tc>
          <w:tcPr>
            <w:tcW w:w="4268" w:type="dxa"/>
            <w:tcBorders>
              <w:top w:val="single" w:color="000000" w:sz="4" w:space="0"/>
              <w:left w:val="nil"/>
              <w:bottom w:val="single" w:color="000000" w:sz="4" w:space="0"/>
              <w:right w:val="single" w:color="000000" w:sz="4" w:space="0"/>
            </w:tcBorders>
            <w:noWrap w:val="0"/>
            <w:vAlign w:val="center"/>
          </w:tcPr>
          <w:p w14:paraId="75568009">
            <w:pPr>
              <w:pStyle w:val="32"/>
              <w:ind w:left="-29" w:leftChars="-14" w:firstLine="440"/>
              <w:jc w:val="center"/>
              <w:rPr>
                <w:rFonts w:hint="eastAsia" w:ascii="宋体" w:eastAsia="宋体" w:cs="宋体"/>
                <w:bCs/>
                <w:sz w:val="22"/>
                <w:szCs w:val="22"/>
              </w:rPr>
            </w:pPr>
            <w:r>
              <w:rPr>
                <w:rFonts w:hint="eastAsia" w:ascii="宋体" w:eastAsia="宋体" w:cs="宋体"/>
                <w:bCs/>
                <w:sz w:val="22"/>
                <w:szCs w:val="22"/>
              </w:rPr>
              <w:t>页码</w:t>
            </w:r>
          </w:p>
        </w:tc>
      </w:tr>
      <w:tr w14:paraId="24D1897E">
        <w:tblPrEx>
          <w:tblCellMar>
            <w:top w:w="0" w:type="dxa"/>
            <w:left w:w="108" w:type="dxa"/>
            <w:bottom w:w="0" w:type="dxa"/>
            <w:right w:w="108" w:type="dxa"/>
          </w:tblCellMar>
        </w:tblPrEx>
        <w:trPr>
          <w:trHeight w:val="437" w:hRule="atLeast"/>
        </w:trPr>
        <w:tc>
          <w:tcPr>
            <w:tcW w:w="2004" w:type="dxa"/>
            <w:tcBorders>
              <w:top w:val="single" w:color="000000" w:sz="4" w:space="0"/>
              <w:left w:val="single" w:color="000000" w:sz="4" w:space="0"/>
              <w:bottom w:val="single" w:color="000000" w:sz="4" w:space="0"/>
              <w:right w:val="single" w:color="000000" w:sz="4" w:space="0"/>
            </w:tcBorders>
            <w:noWrap w:val="0"/>
            <w:vAlign w:val="center"/>
          </w:tcPr>
          <w:p w14:paraId="15896299">
            <w:pPr>
              <w:pStyle w:val="32"/>
              <w:ind w:firstLine="0" w:firstLineChars="0"/>
              <w:jc w:val="center"/>
              <w:rPr>
                <w:rFonts w:hint="eastAsia" w:ascii="宋体" w:eastAsia="宋体" w:cs="宋体"/>
                <w:bCs/>
                <w:sz w:val="22"/>
                <w:szCs w:val="22"/>
              </w:rPr>
            </w:pPr>
            <w:r>
              <w:rPr>
                <w:rFonts w:hint="eastAsia" w:ascii="宋体" w:eastAsia="宋体" w:cs="宋体"/>
                <w:bCs/>
                <w:sz w:val="22"/>
                <w:szCs w:val="22"/>
              </w:rPr>
              <w:t>1</w:t>
            </w:r>
          </w:p>
        </w:tc>
        <w:tc>
          <w:tcPr>
            <w:tcW w:w="3446" w:type="dxa"/>
            <w:tcBorders>
              <w:top w:val="single" w:color="000000" w:sz="4" w:space="0"/>
              <w:left w:val="nil"/>
              <w:bottom w:val="single" w:color="000000" w:sz="4" w:space="0"/>
              <w:right w:val="single" w:color="000000" w:sz="4" w:space="0"/>
            </w:tcBorders>
            <w:noWrap w:val="0"/>
            <w:vAlign w:val="center"/>
          </w:tcPr>
          <w:p w14:paraId="6CA9C783">
            <w:pPr>
              <w:pStyle w:val="32"/>
              <w:ind w:firstLine="0" w:firstLineChars="0"/>
              <w:jc w:val="center"/>
              <w:rPr>
                <w:rFonts w:hint="eastAsia" w:ascii="宋体" w:eastAsia="宋体" w:cs="宋体"/>
                <w:bCs/>
                <w:sz w:val="22"/>
                <w:szCs w:val="22"/>
              </w:rPr>
            </w:pPr>
            <w:r>
              <w:rPr>
                <w:rFonts w:hint="eastAsia" w:ascii="宋体" w:eastAsia="宋体" w:cs="宋体"/>
                <w:bCs/>
                <w:sz w:val="22"/>
                <w:szCs w:val="22"/>
              </w:rPr>
              <w:t>技术分</w:t>
            </w:r>
          </w:p>
        </w:tc>
        <w:tc>
          <w:tcPr>
            <w:tcW w:w="4268" w:type="dxa"/>
            <w:tcBorders>
              <w:top w:val="single" w:color="000000" w:sz="4" w:space="0"/>
              <w:left w:val="nil"/>
              <w:bottom w:val="single" w:color="000000" w:sz="4" w:space="0"/>
              <w:right w:val="single" w:color="000000" w:sz="4" w:space="0"/>
            </w:tcBorders>
            <w:noWrap w:val="0"/>
            <w:vAlign w:val="center"/>
          </w:tcPr>
          <w:p w14:paraId="2C2AEA02">
            <w:pPr>
              <w:pStyle w:val="32"/>
              <w:ind w:firstLine="440"/>
              <w:jc w:val="center"/>
              <w:rPr>
                <w:rFonts w:hint="eastAsia" w:ascii="宋体" w:eastAsia="宋体" w:cs="宋体"/>
                <w:bCs/>
                <w:sz w:val="22"/>
                <w:szCs w:val="22"/>
              </w:rPr>
            </w:pPr>
            <w:r>
              <w:rPr>
                <w:rFonts w:hint="eastAsia" w:ascii="宋体" w:eastAsia="宋体" w:cs="宋体"/>
                <w:bCs/>
                <w:sz w:val="22"/>
                <w:szCs w:val="22"/>
              </w:rPr>
              <w:t>详见投标文件第几页</w:t>
            </w:r>
          </w:p>
        </w:tc>
      </w:tr>
      <w:tr w14:paraId="2079D210">
        <w:tblPrEx>
          <w:tblCellMar>
            <w:top w:w="0" w:type="dxa"/>
            <w:left w:w="108" w:type="dxa"/>
            <w:bottom w:w="0" w:type="dxa"/>
            <w:right w:w="108" w:type="dxa"/>
          </w:tblCellMar>
        </w:tblPrEx>
        <w:trPr>
          <w:cantSplit/>
          <w:trHeight w:val="580" w:hRule="atLeast"/>
        </w:trPr>
        <w:tc>
          <w:tcPr>
            <w:tcW w:w="2004" w:type="dxa"/>
            <w:tcBorders>
              <w:top w:val="single" w:color="000000" w:sz="4" w:space="0"/>
              <w:left w:val="single" w:color="000000" w:sz="4" w:space="0"/>
              <w:bottom w:val="single" w:color="000000" w:sz="4" w:space="0"/>
              <w:right w:val="single" w:color="000000" w:sz="4" w:space="0"/>
            </w:tcBorders>
            <w:noWrap w:val="0"/>
            <w:vAlign w:val="center"/>
          </w:tcPr>
          <w:p w14:paraId="4B932A5B">
            <w:pPr>
              <w:widowControl/>
              <w:jc w:val="center"/>
              <w:rPr>
                <w:rFonts w:ascii="宋体" w:hAnsi="宋体" w:cs="宋体"/>
                <w:bCs/>
                <w:sz w:val="22"/>
                <w:szCs w:val="22"/>
              </w:rPr>
            </w:pPr>
            <w:r>
              <w:rPr>
                <w:rFonts w:hint="eastAsia" w:ascii="宋体" w:hAnsi="宋体" w:cs="宋体"/>
                <w:bCs/>
                <w:sz w:val="22"/>
                <w:szCs w:val="22"/>
              </w:rPr>
              <w:t>1.1</w:t>
            </w:r>
          </w:p>
        </w:tc>
        <w:tc>
          <w:tcPr>
            <w:tcW w:w="3446" w:type="dxa"/>
            <w:tcBorders>
              <w:top w:val="single" w:color="000000" w:sz="4" w:space="0"/>
              <w:left w:val="nil"/>
              <w:bottom w:val="single" w:color="000000" w:sz="4" w:space="0"/>
              <w:right w:val="single" w:color="000000" w:sz="4" w:space="0"/>
            </w:tcBorders>
            <w:noWrap w:val="0"/>
            <w:vAlign w:val="center"/>
          </w:tcPr>
          <w:p w14:paraId="2248453A">
            <w:pPr>
              <w:jc w:val="center"/>
              <w:rPr>
                <w:rFonts w:hint="eastAsia" w:ascii="宋体" w:hAnsi="宋体" w:cs="宋体"/>
                <w:bCs/>
                <w:sz w:val="22"/>
                <w:szCs w:val="22"/>
              </w:rPr>
            </w:pPr>
          </w:p>
        </w:tc>
        <w:tc>
          <w:tcPr>
            <w:tcW w:w="4268" w:type="dxa"/>
            <w:tcBorders>
              <w:top w:val="single" w:color="000000" w:sz="4" w:space="0"/>
              <w:left w:val="nil"/>
              <w:bottom w:val="nil"/>
              <w:right w:val="single" w:color="000000" w:sz="4" w:space="0"/>
            </w:tcBorders>
            <w:noWrap w:val="0"/>
            <w:vAlign w:val="center"/>
          </w:tcPr>
          <w:p w14:paraId="7D613496">
            <w:pPr>
              <w:jc w:val="center"/>
              <w:rPr>
                <w:rFonts w:hint="eastAsia" w:ascii="宋体" w:hAnsi="宋体" w:cs="宋体"/>
                <w:bCs/>
                <w:sz w:val="22"/>
                <w:szCs w:val="22"/>
              </w:rPr>
            </w:pPr>
          </w:p>
        </w:tc>
      </w:tr>
      <w:tr w14:paraId="1C286314">
        <w:tblPrEx>
          <w:tblCellMar>
            <w:top w:w="0" w:type="dxa"/>
            <w:left w:w="108" w:type="dxa"/>
            <w:bottom w:w="0" w:type="dxa"/>
            <w:right w:w="108" w:type="dxa"/>
          </w:tblCellMar>
        </w:tblPrEx>
        <w:trPr>
          <w:cantSplit/>
          <w:trHeight w:val="1048" w:hRule="atLeast"/>
        </w:trPr>
        <w:tc>
          <w:tcPr>
            <w:tcW w:w="2004" w:type="dxa"/>
            <w:tcBorders>
              <w:top w:val="single" w:color="000000" w:sz="4" w:space="0"/>
              <w:left w:val="single" w:color="000000" w:sz="4" w:space="0"/>
              <w:bottom w:val="single" w:color="000000" w:sz="4" w:space="0"/>
              <w:right w:val="single" w:color="000000" w:sz="4" w:space="0"/>
            </w:tcBorders>
            <w:noWrap w:val="0"/>
            <w:vAlign w:val="center"/>
          </w:tcPr>
          <w:p w14:paraId="7A540F9E">
            <w:pPr>
              <w:widowControl/>
              <w:jc w:val="center"/>
              <w:rPr>
                <w:rFonts w:ascii="宋体" w:hAnsi="宋体" w:cs="宋体"/>
                <w:bCs/>
                <w:sz w:val="22"/>
                <w:szCs w:val="22"/>
              </w:rPr>
            </w:pPr>
            <w:r>
              <w:rPr>
                <w:rFonts w:hint="eastAsia" w:ascii="宋体" w:hAnsi="宋体" w:cs="宋体"/>
                <w:bCs/>
                <w:sz w:val="22"/>
                <w:szCs w:val="22"/>
              </w:rPr>
              <w:t>1.2</w:t>
            </w:r>
          </w:p>
        </w:tc>
        <w:tc>
          <w:tcPr>
            <w:tcW w:w="3446" w:type="dxa"/>
            <w:tcBorders>
              <w:top w:val="single" w:color="000000" w:sz="4" w:space="0"/>
              <w:left w:val="nil"/>
              <w:bottom w:val="single" w:color="000000" w:sz="4" w:space="0"/>
              <w:right w:val="single" w:color="000000" w:sz="4" w:space="0"/>
            </w:tcBorders>
            <w:noWrap w:val="0"/>
            <w:vAlign w:val="center"/>
          </w:tcPr>
          <w:p w14:paraId="4851E7B3">
            <w:pPr>
              <w:spacing w:line="320" w:lineRule="exact"/>
              <w:jc w:val="center"/>
              <w:rPr>
                <w:rFonts w:hint="eastAsia" w:ascii="宋体" w:hAnsi="宋体" w:cs="宋体"/>
                <w:bCs/>
                <w:sz w:val="22"/>
                <w:szCs w:val="22"/>
              </w:rPr>
            </w:pPr>
          </w:p>
        </w:tc>
        <w:tc>
          <w:tcPr>
            <w:tcW w:w="4268" w:type="dxa"/>
            <w:tcBorders>
              <w:top w:val="single" w:color="000000" w:sz="4" w:space="0"/>
              <w:left w:val="nil"/>
              <w:bottom w:val="nil"/>
              <w:right w:val="single" w:color="000000" w:sz="4" w:space="0"/>
            </w:tcBorders>
            <w:noWrap w:val="0"/>
            <w:vAlign w:val="center"/>
          </w:tcPr>
          <w:p w14:paraId="6E712B6B">
            <w:pPr>
              <w:widowControl/>
              <w:jc w:val="center"/>
              <w:rPr>
                <w:rFonts w:hint="eastAsia" w:ascii="宋体" w:hAnsi="宋体" w:cs="宋体"/>
                <w:bCs/>
                <w:sz w:val="22"/>
                <w:szCs w:val="22"/>
              </w:rPr>
            </w:pPr>
          </w:p>
        </w:tc>
      </w:tr>
      <w:tr w14:paraId="034A9E09">
        <w:tblPrEx>
          <w:tblCellMar>
            <w:top w:w="0" w:type="dxa"/>
            <w:left w:w="108" w:type="dxa"/>
            <w:bottom w:w="0" w:type="dxa"/>
            <w:right w:w="108" w:type="dxa"/>
          </w:tblCellMar>
        </w:tblPrEx>
        <w:trPr>
          <w:cantSplit/>
          <w:trHeight w:val="767" w:hRule="atLeast"/>
        </w:trPr>
        <w:tc>
          <w:tcPr>
            <w:tcW w:w="2004" w:type="dxa"/>
            <w:tcBorders>
              <w:top w:val="nil"/>
              <w:left w:val="single" w:color="000000" w:sz="4" w:space="0"/>
              <w:bottom w:val="single" w:color="000000" w:sz="4" w:space="0"/>
              <w:right w:val="single" w:color="000000" w:sz="4" w:space="0"/>
            </w:tcBorders>
            <w:noWrap w:val="0"/>
            <w:vAlign w:val="center"/>
          </w:tcPr>
          <w:p w14:paraId="6D044139">
            <w:pPr>
              <w:widowControl/>
              <w:jc w:val="center"/>
              <w:rPr>
                <w:rFonts w:hint="eastAsia" w:ascii="宋体" w:hAnsi="宋体" w:cs="宋体"/>
                <w:b/>
                <w:bCs/>
                <w:sz w:val="22"/>
                <w:szCs w:val="22"/>
              </w:rPr>
            </w:pPr>
            <w:r>
              <w:rPr>
                <w:rFonts w:hint="eastAsia" w:ascii="宋体" w:hAnsi="宋体" w:cs="宋体"/>
                <w:bCs/>
                <w:sz w:val="22"/>
                <w:szCs w:val="22"/>
              </w:rPr>
              <w:t>……</w:t>
            </w:r>
          </w:p>
        </w:tc>
        <w:tc>
          <w:tcPr>
            <w:tcW w:w="3446" w:type="dxa"/>
            <w:tcBorders>
              <w:top w:val="nil"/>
              <w:left w:val="nil"/>
              <w:bottom w:val="single" w:color="000000" w:sz="4" w:space="0"/>
              <w:right w:val="single" w:color="000000" w:sz="4" w:space="0"/>
            </w:tcBorders>
            <w:noWrap w:val="0"/>
            <w:vAlign w:val="center"/>
          </w:tcPr>
          <w:p w14:paraId="737E39DA">
            <w:pPr>
              <w:widowControl/>
              <w:jc w:val="center"/>
              <w:rPr>
                <w:rFonts w:hint="eastAsia" w:ascii="宋体" w:hAnsi="宋体" w:cs="宋体"/>
                <w:b/>
                <w:bCs/>
                <w:sz w:val="22"/>
                <w:szCs w:val="22"/>
              </w:rPr>
            </w:pPr>
          </w:p>
        </w:tc>
        <w:tc>
          <w:tcPr>
            <w:tcW w:w="4268" w:type="dxa"/>
            <w:tcBorders>
              <w:top w:val="single" w:color="000000" w:sz="4" w:space="0"/>
              <w:left w:val="nil"/>
              <w:bottom w:val="single" w:color="000000" w:sz="4" w:space="0"/>
              <w:right w:val="single" w:color="000000" w:sz="4" w:space="0"/>
            </w:tcBorders>
            <w:noWrap w:val="0"/>
            <w:vAlign w:val="center"/>
          </w:tcPr>
          <w:p w14:paraId="54D67EBF">
            <w:pPr>
              <w:ind w:left="55"/>
              <w:jc w:val="center"/>
              <w:rPr>
                <w:rFonts w:hint="eastAsia" w:ascii="宋体" w:hAnsi="宋体" w:cs="宋体"/>
                <w:b/>
                <w:bCs/>
                <w:sz w:val="22"/>
                <w:szCs w:val="22"/>
              </w:rPr>
            </w:pPr>
            <w:r>
              <w:rPr>
                <w:rFonts w:hint="eastAsia" w:ascii="宋体" w:hAnsi="宋体" w:cs="宋体"/>
                <w:bCs/>
                <w:sz w:val="22"/>
                <w:szCs w:val="22"/>
              </w:rPr>
              <w:t>……</w:t>
            </w:r>
          </w:p>
        </w:tc>
      </w:tr>
      <w:tr w14:paraId="4B024158">
        <w:tblPrEx>
          <w:tblCellMar>
            <w:top w:w="0" w:type="dxa"/>
            <w:left w:w="108" w:type="dxa"/>
            <w:bottom w:w="0" w:type="dxa"/>
            <w:right w:w="108" w:type="dxa"/>
          </w:tblCellMar>
        </w:tblPrEx>
        <w:trPr>
          <w:cantSplit/>
          <w:trHeight w:val="494" w:hRule="atLeast"/>
        </w:trPr>
        <w:tc>
          <w:tcPr>
            <w:tcW w:w="2004" w:type="dxa"/>
            <w:tcBorders>
              <w:top w:val="single" w:color="000000" w:sz="4" w:space="0"/>
              <w:left w:val="single" w:color="000000" w:sz="4" w:space="0"/>
              <w:bottom w:val="single" w:color="000000" w:sz="4" w:space="0"/>
              <w:right w:val="single" w:color="000000" w:sz="4" w:space="0"/>
            </w:tcBorders>
            <w:noWrap w:val="0"/>
            <w:vAlign w:val="center"/>
          </w:tcPr>
          <w:p w14:paraId="005A784E">
            <w:pPr>
              <w:widowControl/>
              <w:jc w:val="center"/>
              <w:rPr>
                <w:rFonts w:hint="eastAsia" w:ascii="宋体" w:hAnsi="宋体" w:cs="宋体"/>
                <w:b/>
                <w:bCs/>
                <w:sz w:val="22"/>
                <w:szCs w:val="22"/>
              </w:rPr>
            </w:pPr>
          </w:p>
        </w:tc>
        <w:tc>
          <w:tcPr>
            <w:tcW w:w="3446" w:type="dxa"/>
            <w:tcBorders>
              <w:top w:val="single" w:color="000000" w:sz="4" w:space="0"/>
              <w:left w:val="nil"/>
              <w:bottom w:val="single" w:color="000000" w:sz="4" w:space="0"/>
              <w:right w:val="single" w:color="000000" w:sz="4" w:space="0"/>
            </w:tcBorders>
            <w:noWrap w:val="0"/>
            <w:vAlign w:val="center"/>
          </w:tcPr>
          <w:p w14:paraId="7ADD04C3">
            <w:pPr>
              <w:widowControl/>
              <w:jc w:val="center"/>
              <w:rPr>
                <w:rFonts w:hint="eastAsia" w:ascii="宋体" w:hAnsi="宋体" w:cs="宋体"/>
                <w:b/>
                <w:bCs/>
                <w:sz w:val="22"/>
                <w:szCs w:val="22"/>
              </w:rPr>
            </w:pPr>
          </w:p>
        </w:tc>
        <w:tc>
          <w:tcPr>
            <w:tcW w:w="4268" w:type="dxa"/>
            <w:tcBorders>
              <w:top w:val="single" w:color="000000" w:sz="4" w:space="0"/>
              <w:left w:val="nil"/>
              <w:bottom w:val="single" w:color="000000" w:sz="4" w:space="0"/>
              <w:right w:val="single" w:color="000000" w:sz="4" w:space="0"/>
            </w:tcBorders>
            <w:noWrap w:val="0"/>
            <w:vAlign w:val="center"/>
          </w:tcPr>
          <w:p w14:paraId="70F25DDA">
            <w:pPr>
              <w:pStyle w:val="32"/>
              <w:ind w:firstLine="442"/>
              <w:jc w:val="center"/>
              <w:rPr>
                <w:rFonts w:hint="eastAsia" w:ascii="宋体" w:eastAsia="宋体" w:cs="宋体"/>
                <w:b/>
                <w:bCs/>
                <w:sz w:val="22"/>
                <w:szCs w:val="22"/>
              </w:rPr>
            </w:pPr>
          </w:p>
        </w:tc>
      </w:tr>
      <w:tr w14:paraId="705090FF">
        <w:tblPrEx>
          <w:tblCellMar>
            <w:top w:w="0" w:type="dxa"/>
            <w:left w:w="108" w:type="dxa"/>
            <w:bottom w:w="0" w:type="dxa"/>
            <w:right w:w="108" w:type="dxa"/>
          </w:tblCellMar>
        </w:tblPrEx>
        <w:trPr>
          <w:cantSplit/>
          <w:trHeight w:val="557" w:hRule="atLeast"/>
        </w:trPr>
        <w:tc>
          <w:tcPr>
            <w:tcW w:w="2004" w:type="dxa"/>
            <w:tcBorders>
              <w:top w:val="single" w:color="000000" w:sz="4" w:space="0"/>
              <w:left w:val="single" w:color="000000" w:sz="4" w:space="0"/>
              <w:bottom w:val="single" w:color="000000" w:sz="4" w:space="0"/>
              <w:right w:val="single" w:color="000000" w:sz="4" w:space="0"/>
            </w:tcBorders>
            <w:noWrap w:val="0"/>
            <w:vAlign w:val="center"/>
          </w:tcPr>
          <w:p w14:paraId="063D8D10">
            <w:pPr>
              <w:widowControl/>
              <w:jc w:val="center"/>
              <w:rPr>
                <w:rFonts w:hint="eastAsia" w:ascii="宋体" w:hAnsi="宋体" w:cs="宋体"/>
                <w:b/>
                <w:bCs/>
                <w:sz w:val="22"/>
                <w:szCs w:val="22"/>
              </w:rPr>
            </w:pPr>
          </w:p>
        </w:tc>
        <w:tc>
          <w:tcPr>
            <w:tcW w:w="3446" w:type="dxa"/>
            <w:tcBorders>
              <w:top w:val="single" w:color="000000" w:sz="4" w:space="0"/>
              <w:left w:val="nil"/>
              <w:bottom w:val="single" w:color="000000" w:sz="4" w:space="0"/>
              <w:right w:val="single" w:color="000000" w:sz="4" w:space="0"/>
            </w:tcBorders>
            <w:noWrap w:val="0"/>
            <w:vAlign w:val="center"/>
          </w:tcPr>
          <w:p w14:paraId="4850DAAE">
            <w:pPr>
              <w:spacing w:line="320" w:lineRule="exact"/>
              <w:jc w:val="center"/>
              <w:rPr>
                <w:rFonts w:hint="eastAsia" w:ascii="宋体" w:hAnsi="宋体" w:cs="宋体"/>
                <w:b/>
                <w:bCs/>
                <w:sz w:val="22"/>
                <w:szCs w:val="22"/>
              </w:rPr>
            </w:pPr>
          </w:p>
        </w:tc>
        <w:tc>
          <w:tcPr>
            <w:tcW w:w="4268" w:type="dxa"/>
            <w:tcBorders>
              <w:top w:val="single" w:color="000000" w:sz="4" w:space="0"/>
              <w:left w:val="nil"/>
              <w:bottom w:val="single" w:color="000000" w:sz="4" w:space="0"/>
              <w:right w:val="single" w:color="000000" w:sz="4" w:space="0"/>
            </w:tcBorders>
            <w:noWrap w:val="0"/>
            <w:vAlign w:val="center"/>
          </w:tcPr>
          <w:p w14:paraId="4BB59FBD">
            <w:pPr>
              <w:spacing w:line="320" w:lineRule="exact"/>
              <w:jc w:val="center"/>
              <w:rPr>
                <w:rFonts w:hint="eastAsia" w:ascii="宋体" w:hAnsi="宋体" w:cs="宋体"/>
                <w:b/>
                <w:bCs/>
                <w:sz w:val="22"/>
                <w:szCs w:val="22"/>
              </w:rPr>
            </w:pPr>
          </w:p>
        </w:tc>
      </w:tr>
      <w:tr w14:paraId="310AE676">
        <w:tblPrEx>
          <w:tblCellMar>
            <w:top w:w="0" w:type="dxa"/>
            <w:left w:w="108" w:type="dxa"/>
            <w:bottom w:w="0" w:type="dxa"/>
            <w:right w:w="108" w:type="dxa"/>
          </w:tblCellMar>
        </w:tblPrEx>
        <w:trPr>
          <w:cantSplit/>
          <w:trHeight w:val="611" w:hRule="atLeast"/>
        </w:trPr>
        <w:tc>
          <w:tcPr>
            <w:tcW w:w="2004" w:type="dxa"/>
            <w:tcBorders>
              <w:top w:val="single" w:color="000000" w:sz="4" w:space="0"/>
              <w:left w:val="single" w:color="000000" w:sz="4" w:space="0"/>
              <w:bottom w:val="single" w:color="000000" w:sz="4" w:space="0"/>
              <w:right w:val="single" w:color="000000" w:sz="4" w:space="0"/>
            </w:tcBorders>
            <w:noWrap w:val="0"/>
            <w:vAlign w:val="center"/>
          </w:tcPr>
          <w:p w14:paraId="202C6734">
            <w:pPr>
              <w:widowControl/>
              <w:jc w:val="center"/>
              <w:rPr>
                <w:rFonts w:hint="eastAsia" w:ascii="宋体" w:hAnsi="宋体" w:cs="宋体"/>
                <w:b/>
                <w:bCs/>
                <w:sz w:val="22"/>
                <w:szCs w:val="22"/>
              </w:rPr>
            </w:pPr>
          </w:p>
        </w:tc>
        <w:tc>
          <w:tcPr>
            <w:tcW w:w="3446" w:type="dxa"/>
            <w:tcBorders>
              <w:top w:val="single" w:color="000000" w:sz="4" w:space="0"/>
              <w:left w:val="nil"/>
              <w:bottom w:val="single" w:color="000000" w:sz="4" w:space="0"/>
              <w:right w:val="single" w:color="000000" w:sz="4" w:space="0"/>
            </w:tcBorders>
            <w:noWrap w:val="0"/>
            <w:vAlign w:val="center"/>
          </w:tcPr>
          <w:p w14:paraId="333F2E94">
            <w:pPr>
              <w:jc w:val="center"/>
              <w:rPr>
                <w:rFonts w:hint="eastAsia" w:ascii="宋体" w:hAnsi="宋体" w:cs="宋体"/>
                <w:b/>
                <w:bCs/>
                <w:sz w:val="22"/>
                <w:szCs w:val="22"/>
              </w:rPr>
            </w:pPr>
          </w:p>
        </w:tc>
        <w:tc>
          <w:tcPr>
            <w:tcW w:w="4268" w:type="dxa"/>
            <w:tcBorders>
              <w:top w:val="single" w:color="000000" w:sz="4" w:space="0"/>
              <w:left w:val="nil"/>
              <w:bottom w:val="single" w:color="000000" w:sz="4" w:space="0"/>
              <w:right w:val="single" w:color="000000" w:sz="4" w:space="0"/>
            </w:tcBorders>
            <w:noWrap w:val="0"/>
            <w:vAlign w:val="center"/>
          </w:tcPr>
          <w:p w14:paraId="60C7B7DF">
            <w:pPr>
              <w:jc w:val="center"/>
              <w:rPr>
                <w:rFonts w:hint="eastAsia" w:ascii="宋体" w:hAnsi="宋体" w:cs="宋体"/>
                <w:b/>
                <w:bCs/>
                <w:sz w:val="22"/>
                <w:szCs w:val="22"/>
              </w:rPr>
            </w:pPr>
          </w:p>
        </w:tc>
      </w:tr>
      <w:tr w14:paraId="223F0B13">
        <w:tblPrEx>
          <w:tblCellMar>
            <w:top w:w="0" w:type="dxa"/>
            <w:left w:w="108" w:type="dxa"/>
            <w:bottom w:w="0" w:type="dxa"/>
            <w:right w:w="108" w:type="dxa"/>
          </w:tblCellMar>
        </w:tblPrEx>
        <w:trPr>
          <w:cantSplit/>
          <w:trHeight w:val="611" w:hRule="atLeast"/>
        </w:trPr>
        <w:tc>
          <w:tcPr>
            <w:tcW w:w="2004" w:type="dxa"/>
            <w:tcBorders>
              <w:top w:val="single" w:color="000000" w:sz="4" w:space="0"/>
              <w:left w:val="single" w:color="000000" w:sz="4" w:space="0"/>
              <w:bottom w:val="single" w:color="000000" w:sz="4" w:space="0"/>
              <w:right w:val="single" w:color="000000" w:sz="4" w:space="0"/>
            </w:tcBorders>
            <w:noWrap w:val="0"/>
            <w:vAlign w:val="center"/>
          </w:tcPr>
          <w:p w14:paraId="4FD4C6C4">
            <w:pPr>
              <w:widowControl/>
              <w:jc w:val="center"/>
              <w:rPr>
                <w:rFonts w:hint="eastAsia" w:ascii="宋体" w:hAnsi="宋体" w:cs="宋体"/>
                <w:b/>
                <w:bCs/>
                <w:sz w:val="22"/>
                <w:szCs w:val="22"/>
              </w:rPr>
            </w:pPr>
          </w:p>
        </w:tc>
        <w:tc>
          <w:tcPr>
            <w:tcW w:w="3446" w:type="dxa"/>
            <w:tcBorders>
              <w:top w:val="single" w:color="000000" w:sz="4" w:space="0"/>
              <w:left w:val="nil"/>
              <w:bottom w:val="single" w:color="000000" w:sz="4" w:space="0"/>
              <w:right w:val="single" w:color="000000" w:sz="4" w:space="0"/>
            </w:tcBorders>
            <w:noWrap w:val="0"/>
            <w:vAlign w:val="center"/>
          </w:tcPr>
          <w:p w14:paraId="5083E6FB">
            <w:pPr>
              <w:jc w:val="center"/>
              <w:rPr>
                <w:rFonts w:hint="eastAsia" w:ascii="宋体" w:hAnsi="宋体" w:cs="宋体"/>
                <w:b/>
                <w:bCs/>
                <w:sz w:val="22"/>
                <w:szCs w:val="22"/>
              </w:rPr>
            </w:pPr>
          </w:p>
        </w:tc>
        <w:tc>
          <w:tcPr>
            <w:tcW w:w="4268" w:type="dxa"/>
            <w:tcBorders>
              <w:top w:val="single" w:color="000000" w:sz="4" w:space="0"/>
              <w:left w:val="nil"/>
              <w:bottom w:val="single" w:color="000000" w:sz="4" w:space="0"/>
              <w:right w:val="single" w:color="000000" w:sz="4" w:space="0"/>
            </w:tcBorders>
            <w:noWrap w:val="0"/>
            <w:vAlign w:val="center"/>
          </w:tcPr>
          <w:p w14:paraId="5F8D0D68">
            <w:pPr>
              <w:jc w:val="center"/>
              <w:rPr>
                <w:rFonts w:hint="eastAsia" w:ascii="宋体" w:hAnsi="宋体" w:cs="宋体"/>
                <w:b/>
                <w:bCs/>
                <w:sz w:val="22"/>
                <w:szCs w:val="22"/>
              </w:rPr>
            </w:pPr>
          </w:p>
        </w:tc>
      </w:tr>
      <w:tr w14:paraId="2D421DE2">
        <w:tblPrEx>
          <w:tblCellMar>
            <w:top w:w="0" w:type="dxa"/>
            <w:left w:w="108" w:type="dxa"/>
            <w:bottom w:w="0" w:type="dxa"/>
            <w:right w:w="108" w:type="dxa"/>
          </w:tblCellMar>
        </w:tblPrEx>
        <w:trPr>
          <w:cantSplit/>
          <w:trHeight w:val="628" w:hRule="atLeast"/>
        </w:trPr>
        <w:tc>
          <w:tcPr>
            <w:tcW w:w="2004" w:type="dxa"/>
            <w:tcBorders>
              <w:top w:val="nil"/>
              <w:left w:val="single" w:color="000000" w:sz="4" w:space="0"/>
              <w:bottom w:val="single" w:color="000000" w:sz="4" w:space="0"/>
              <w:right w:val="single" w:color="000000" w:sz="4" w:space="0"/>
            </w:tcBorders>
            <w:noWrap w:val="0"/>
            <w:vAlign w:val="center"/>
          </w:tcPr>
          <w:p w14:paraId="7B5859D1">
            <w:pPr>
              <w:widowControl/>
              <w:jc w:val="center"/>
              <w:rPr>
                <w:rFonts w:hint="eastAsia" w:ascii="宋体" w:hAnsi="宋体" w:cs="宋体"/>
                <w:b/>
                <w:bCs/>
                <w:sz w:val="22"/>
                <w:szCs w:val="22"/>
              </w:rPr>
            </w:pPr>
          </w:p>
        </w:tc>
        <w:tc>
          <w:tcPr>
            <w:tcW w:w="3446" w:type="dxa"/>
            <w:tcBorders>
              <w:top w:val="nil"/>
              <w:left w:val="nil"/>
              <w:bottom w:val="single" w:color="000000" w:sz="4" w:space="0"/>
              <w:right w:val="single" w:color="000000" w:sz="4" w:space="0"/>
            </w:tcBorders>
            <w:noWrap w:val="0"/>
            <w:vAlign w:val="center"/>
          </w:tcPr>
          <w:p w14:paraId="2A406090">
            <w:pPr>
              <w:widowControl/>
              <w:jc w:val="center"/>
              <w:rPr>
                <w:rFonts w:hint="eastAsia" w:ascii="宋体" w:hAnsi="宋体" w:cs="宋体"/>
                <w:b/>
                <w:bCs/>
                <w:sz w:val="22"/>
                <w:szCs w:val="22"/>
              </w:rPr>
            </w:pPr>
          </w:p>
        </w:tc>
        <w:tc>
          <w:tcPr>
            <w:tcW w:w="4268" w:type="dxa"/>
            <w:tcBorders>
              <w:top w:val="single" w:color="000000" w:sz="4" w:space="0"/>
              <w:left w:val="nil"/>
              <w:bottom w:val="single" w:color="000000" w:sz="4" w:space="0"/>
              <w:right w:val="single" w:color="000000" w:sz="4" w:space="0"/>
            </w:tcBorders>
            <w:noWrap w:val="0"/>
            <w:vAlign w:val="center"/>
          </w:tcPr>
          <w:p w14:paraId="0DE959CA">
            <w:pPr>
              <w:pStyle w:val="32"/>
              <w:ind w:firstLine="442"/>
              <w:jc w:val="center"/>
              <w:rPr>
                <w:rFonts w:hint="eastAsia" w:ascii="宋体" w:eastAsia="宋体" w:cs="宋体"/>
                <w:b/>
                <w:bCs/>
                <w:sz w:val="22"/>
                <w:szCs w:val="22"/>
              </w:rPr>
            </w:pPr>
          </w:p>
        </w:tc>
      </w:tr>
      <w:tr w14:paraId="7D8075AC">
        <w:tblPrEx>
          <w:tblCellMar>
            <w:top w:w="0" w:type="dxa"/>
            <w:left w:w="108" w:type="dxa"/>
            <w:bottom w:w="0" w:type="dxa"/>
            <w:right w:w="108" w:type="dxa"/>
          </w:tblCellMar>
        </w:tblPrEx>
        <w:trPr>
          <w:cantSplit/>
          <w:trHeight w:val="535" w:hRule="atLeast"/>
        </w:trPr>
        <w:tc>
          <w:tcPr>
            <w:tcW w:w="2004" w:type="dxa"/>
            <w:tcBorders>
              <w:top w:val="nil"/>
              <w:left w:val="single" w:color="000000" w:sz="4" w:space="0"/>
              <w:bottom w:val="single" w:color="000000" w:sz="4" w:space="0"/>
              <w:right w:val="single" w:color="000000" w:sz="4" w:space="0"/>
            </w:tcBorders>
            <w:noWrap w:val="0"/>
            <w:vAlign w:val="center"/>
          </w:tcPr>
          <w:p w14:paraId="47CA458E">
            <w:pPr>
              <w:widowControl/>
              <w:jc w:val="center"/>
              <w:rPr>
                <w:rFonts w:hint="eastAsia" w:ascii="宋体" w:hAnsi="宋体" w:cs="宋体"/>
                <w:b/>
                <w:bCs/>
                <w:sz w:val="22"/>
                <w:szCs w:val="22"/>
              </w:rPr>
            </w:pPr>
          </w:p>
        </w:tc>
        <w:tc>
          <w:tcPr>
            <w:tcW w:w="3446" w:type="dxa"/>
            <w:tcBorders>
              <w:top w:val="nil"/>
              <w:left w:val="nil"/>
              <w:bottom w:val="single" w:color="000000" w:sz="4" w:space="0"/>
              <w:right w:val="single" w:color="000000" w:sz="4" w:space="0"/>
            </w:tcBorders>
            <w:noWrap w:val="0"/>
            <w:vAlign w:val="center"/>
          </w:tcPr>
          <w:p w14:paraId="504F0B01">
            <w:pPr>
              <w:spacing w:line="320" w:lineRule="exact"/>
              <w:jc w:val="center"/>
              <w:rPr>
                <w:rFonts w:hint="eastAsia" w:ascii="宋体" w:hAnsi="宋体" w:cs="宋体"/>
                <w:b/>
                <w:bCs/>
                <w:sz w:val="22"/>
                <w:szCs w:val="22"/>
              </w:rPr>
            </w:pPr>
          </w:p>
        </w:tc>
        <w:tc>
          <w:tcPr>
            <w:tcW w:w="4268" w:type="dxa"/>
            <w:tcBorders>
              <w:top w:val="single" w:color="000000" w:sz="4" w:space="0"/>
              <w:left w:val="nil"/>
              <w:bottom w:val="single" w:color="000000" w:sz="4" w:space="0"/>
              <w:right w:val="single" w:color="000000" w:sz="4" w:space="0"/>
            </w:tcBorders>
            <w:noWrap w:val="0"/>
            <w:vAlign w:val="center"/>
          </w:tcPr>
          <w:p w14:paraId="561011C9">
            <w:pPr>
              <w:jc w:val="center"/>
              <w:rPr>
                <w:rFonts w:hint="eastAsia" w:ascii="宋体" w:hAnsi="宋体" w:cs="宋体"/>
                <w:b/>
                <w:bCs/>
                <w:sz w:val="22"/>
                <w:szCs w:val="22"/>
              </w:rPr>
            </w:pPr>
          </w:p>
        </w:tc>
      </w:tr>
      <w:tr w14:paraId="1E5C0725">
        <w:tblPrEx>
          <w:tblCellMar>
            <w:top w:w="0" w:type="dxa"/>
            <w:left w:w="108" w:type="dxa"/>
            <w:bottom w:w="0" w:type="dxa"/>
            <w:right w:w="108" w:type="dxa"/>
          </w:tblCellMar>
        </w:tblPrEx>
        <w:trPr>
          <w:cantSplit/>
          <w:trHeight w:val="535" w:hRule="atLeast"/>
        </w:trPr>
        <w:tc>
          <w:tcPr>
            <w:tcW w:w="2004" w:type="dxa"/>
            <w:tcBorders>
              <w:top w:val="single" w:color="000000" w:sz="4" w:space="0"/>
              <w:left w:val="single" w:color="000000" w:sz="4" w:space="0"/>
              <w:bottom w:val="single" w:color="000000" w:sz="4" w:space="0"/>
              <w:right w:val="single" w:color="000000" w:sz="4" w:space="0"/>
            </w:tcBorders>
            <w:noWrap w:val="0"/>
            <w:vAlign w:val="center"/>
          </w:tcPr>
          <w:p w14:paraId="3F2A7F91">
            <w:pPr>
              <w:widowControl/>
              <w:jc w:val="center"/>
              <w:rPr>
                <w:rFonts w:hint="eastAsia" w:ascii="宋体" w:hAnsi="宋体" w:cs="宋体"/>
                <w:b/>
                <w:bCs/>
                <w:sz w:val="22"/>
                <w:szCs w:val="22"/>
              </w:rPr>
            </w:pPr>
          </w:p>
        </w:tc>
        <w:tc>
          <w:tcPr>
            <w:tcW w:w="3446" w:type="dxa"/>
            <w:tcBorders>
              <w:top w:val="single" w:color="000000" w:sz="4" w:space="0"/>
              <w:left w:val="nil"/>
              <w:bottom w:val="single" w:color="000000" w:sz="4" w:space="0"/>
              <w:right w:val="single" w:color="000000" w:sz="4" w:space="0"/>
            </w:tcBorders>
            <w:noWrap w:val="0"/>
            <w:vAlign w:val="center"/>
          </w:tcPr>
          <w:p w14:paraId="274866FA">
            <w:pPr>
              <w:spacing w:line="320" w:lineRule="exact"/>
              <w:jc w:val="center"/>
              <w:rPr>
                <w:rFonts w:hint="eastAsia" w:ascii="宋体" w:hAnsi="宋体" w:cs="宋体"/>
                <w:b/>
                <w:bCs/>
                <w:sz w:val="22"/>
                <w:szCs w:val="22"/>
              </w:rPr>
            </w:pPr>
          </w:p>
        </w:tc>
        <w:tc>
          <w:tcPr>
            <w:tcW w:w="4268" w:type="dxa"/>
            <w:tcBorders>
              <w:top w:val="single" w:color="000000" w:sz="4" w:space="0"/>
              <w:left w:val="nil"/>
              <w:bottom w:val="single" w:color="000000" w:sz="4" w:space="0"/>
              <w:right w:val="single" w:color="000000" w:sz="4" w:space="0"/>
            </w:tcBorders>
            <w:noWrap w:val="0"/>
            <w:vAlign w:val="center"/>
          </w:tcPr>
          <w:p w14:paraId="13E8E450">
            <w:pPr>
              <w:jc w:val="center"/>
              <w:rPr>
                <w:rFonts w:hint="eastAsia" w:ascii="宋体" w:hAnsi="宋体" w:cs="宋体"/>
                <w:b/>
                <w:bCs/>
                <w:sz w:val="22"/>
                <w:szCs w:val="22"/>
              </w:rPr>
            </w:pPr>
          </w:p>
        </w:tc>
      </w:tr>
      <w:tr w14:paraId="0873ECEC">
        <w:tblPrEx>
          <w:tblCellMar>
            <w:top w:w="0" w:type="dxa"/>
            <w:left w:w="108" w:type="dxa"/>
            <w:bottom w:w="0" w:type="dxa"/>
            <w:right w:w="108" w:type="dxa"/>
          </w:tblCellMar>
        </w:tblPrEx>
        <w:trPr>
          <w:cantSplit/>
          <w:trHeight w:val="545" w:hRule="atLeast"/>
        </w:trPr>
        <w:tc>
          <w:tcPr>
            <w:tcW w:w="2004" w:type="dxa"/>
            <w:tcBorders>
              <w:top w:val="single" w:color="000000" w:sz="4" w:space="0"/>
              <w:left w:val="single" w:color="000000" w:sz="4" w:space="0"/>
              <w:bottom w:val="single" w:color="000000" w:sz="4" w:space="0"/>
              <w:right w:val="single" w:color="000000" w:sz="4" w:space="0"/>
            </w:tcBorders>
            <w:noWrap w:val="0"/>
            <w:vAlign w:val="center"/>
          </w:tcPr>
          <w:p w14:paraId="32D8D272">
            <w:pPr>
              <w:widowControl/>
              <w:jc w:val="center"/>
              <w:rPr>
                <w:rFonts w:hint="eastAsia" w:ascii="宋体" w:hAnsi="宋体" w:cs="宋体"/>
                <w:b/>
                <w:bCs/>
                <w:sz w:val="22"/>
                <w:szCs w:val="22"/>
              </w:rPr>
            </w:pPr>
          </w:p>
        </w:tc>
        <w:tc>
          <w:tcPr>
            <w:tcW w:w="3446" w:type="dxa"/>
            <w:tcBorders>
              <w:top w:val="single" w:color="000000" w:sz="4" w:space="0"/>
              <w:left w:val="nil"/>
              <w:bottom w:val="single" w:color="000000" w:sz="4" w:space="0"/>
              <w:right w:val="single" w:color="000000" w:sz="4" w:space="0"/>
            </w:tcBorders>
            <w:noWrap w:val="0"/>
            <w:vAlign w:val="center"/>
          </w:tcPr>
          <w:p w14:paraId="418FE00A">
            <w:pPr>
              <w:spacing w:line="320" w:lineRule="exact"/>
              <w:jc w:val="center"/>
              <w:rPr>
                <w:rFonts w:hint="eastAsia" w:ascii="宋体" w:hAnsi="宋体" w:cs="宋体"/>
                <w:b/>
                <w:bCs/>
                <w:sz w:val="22"/>
                <w:szCs w:val="22"/>
              </w:rPr>
            </w:pPr>
          </w:p>
        </w:tc>
        <w:tc>
          <w:tcPr>
            <w:tcW w:w="4268" w:type="dxa"/>
            <w:tcBorders>
              <w:top w:val="single" w:color="000000" w:sz="4" w:space="0"/>
              <w:left w:val="nil"/>
              <w:bottom w:val="single" w:color="000000" w:sz="4" w:space="0"/>
              <w:right w:val="single" w:color="000000" w:sz="4" w:space="0"/>
            </w:tcBorders>
            <w:noWrap w:val="0"/>
            <w:vAlign w:val="center"/>
          </w:tcPr>
          <w:p w14:paraId="595459E9">
            <w:pPr>
              <w:jc w:val="center"/>
              <w:rPr>
                <w:rFonts w:hint="eastAsia" w:ascii="宋体" w:hAnsi="宋体" w:cs="宋体"/>
                <w:b/>
                <w:bCs/>
                <w:sz w:val="22"/>
                <w:szCs w:val="22"/>
              </w:rPr>
            </w:pPr>
          </w:p>
        </w:tc>
      </w:tr>
    </w:tbl>
    <w:p w14:paraId="220B46BB">
      <w:pPr>
        <w:pStyle w:val="75"/>
        <w:rPr>
          <w:rFonts w:hint="eastAsia" w:ascii="宋体" w:hAnsi="宋体"/>
          <w:b/>
          <w:sz w:val="24"/>
          <w:szCs w:val="24"/>
        </w:rPr>
      </w:pPr>
    </w:p>
    <w:p w14:paraId="2A6B6741">
      <w:pPr>
        <w:rPr>
          <w:rFonts w:ascii="宋体" w:hAnsi="宋体"/>
          <w:b/>
          <w:sz w:val="24"/>
          <w:szCs w:val="24"/>
        </w:rPr>
      </w:pPr>
      <w:r>
        <w:rPr>
          <w:rFonts w:hint="eastAsia" w:ascii="宋体" w:hAnsi="宋体"/>
          <w:bCs/>
          <w:sz w:val="22"/>
          <w:szCs w:val="22"/>
        </w:rPr>
        <w:t>项目名称：                                                              项目编号：</w:t>
      </w:r>
    </w:p>
    <w:p w14:paraId="7C579810">
      <w:pPr>
        <w:pStyle w:val="75"/>
        <w:rPr>
          <w:rFonts w:hint="eastAsia" w:ascii="宋体" w:hAnsi="宋体"/>
          <w:b/>
          <w:sz w:val="24"/>
          <w:szCs w:val="24"/>
        </w:rPr>
      </w:pPr>
    </w:p>
    <w:p w14:paraId="01801A56">
      <w:pPr>
        <w:rPr>
          <w:rFonts w:hint="eastAsia" w:ascii="宋体" w:hAnsi="宋体"/>
          <w:b/>
          <w:sz w:val="24"/>
          <w:szCs w:val="24"/>
        </w:rPr>
      </w:pPr>
    </w:p>
    <w:p w14:paraId="6104427E">
      <w:pPr>
        <w:pStyle w:val="75"/>
        <w:rPr>
          <w:rFonts w:hint="eastAsia" w:ascii="宋体" w:hAnsi="宋体"/>
          <w:b/>
          <w:sz w:val="24"/>
          <w:szCs w:val="24"/>
        </w:rPr>
      </w:pPr>
    </w:p>
    <w:p w14:paraId="014E76D4">
      <w:pPr>
        <w:spacing w:before="50" w:after="50"/>
        <w:ind w:firstLine="600"/>
        <w:rPr>
          <w:rFonts w:hint="eastAsia" w:ascii="宋体" w:hAnsi="宋体"/>
          <w:b/>
          <w:bCs/>
          <w:sz w:val="22"/>
          <w:szCs w:val="22"/>
        </w:rPr>
      </w:pPr>
      <w:r>
        <w:rPr>
          <w:rFonts w:hint="eastAsia" w:ascii="宋体" w:hAnsi="宋体"/>
          <w:b/>
          <w:bCs/>
          <w:sz w:val="22"/>
          <w:szCs w:val="22"/>
        </w:rPr>
        <w:t>注：评分对应表主要用于作为专家评分的一个参考及查阅依据。</w:t>
      </w:r>
    </w:p>
    <w:p w14:paraId="03F16482">
      <w:pPr>
        <w:pStyle w:val="19"/>
        <w:spacing w:line="440" w:lineRule="atLeast"/>
        <w:jc w:val="left"/>
        <w:rPr>
          <w:rFonts w:hint="eastAsia" w:hAnsi="宋体"/>
          <w:b/>
          <w:bCs/>
          <w:color w:val="auto"/>
          <w:sz w:val="32"/>
          <w:szCs w:val="32"/>
          <w:highlight w:val="none"/>
        </w:rPr>
      </w:pPr>
    </w:p>
    <w:p w14:paraId="59E9AD03">
      <w:pPr>
        <w:spacing w:before="50" w:after="50"/>
        <w:ind w:firstLine="600"/>
        <w:rPr>
          <w:rFonts w:ascii="宋体" w:hAnsi="宋体"/>
          <w:b/>
          <w:bCs/>
          <w:color w:val="auto"/>
          <w:sz w:val="24"/>
          <w:highlight w:val="none"/>
        </w:rPr>
      </w:pPr>
    </w:p>
    <w:p w14:paraId="29D8102E">
      <w:pPr>
        <w:widowControl/>
        <w:jc w:val="left"/>
        <w:rPr>
          <w:rFonts w:ascii="宋体" w:hAnsi="宋体"/>
          <w:b/>
          <w:bCs/>
          <w:color w:val="auto"/>
          <w:sz w:val="32"/>
          <w:szCs w:val="32"/>
          <w:highlight w:val="none"/>
        </w:rPr>
        <w:sectPr>
          <w:headerReference r:id="rId15" w:type="default"/>
          <w:footerReference r:id="rId16" w:type="default"/>
          <w:pgSz w:w="11907" w:h="16840"/>
          <w:pgMar w:top="1440" w:right="1106" w:bottom="1440" w:left="1157" w:header="720" w:footer="720" w:gutter="0"/>
          <w:cols w:space="720" w:num="1"/>
          <w:docGrid w:type="lines" w:linePitch="312" w:charSpace="0"/>
        </w:sectPr>
      </w:pPr>
    </w:p>
    <w:p w14:paraId="704C4D57">
      <w:pPr>
        <w:pStyle w:val="36"/>
        <w:rPr>
          <w:rFonts w:hint="eastAsia" w:ascii="宋体" w:hAnsi="宋体"/>
          <w:color w:val="auto"/>
          <w:kern w:val="2"/>
          <w:sz w:val="36"/>
          <w:szCs w:val="36"/>
          <w:highlight w:val="none"/>
          <w:lang w:val="zh-CN"/>
        </w:rPr>
      </w:pPr>
      <w:r>
        <w:rPr>
          <w:rFonts w:hint="eastAsia" w:ascii="宋体" w:hAnsi="宋体"/>
          <w:color w:val="auto"/>
          <w:kern w:val="2"/>
          <w:sz w:val="36"/>
          <w:szCs w:val="36"/>
          <w:highlight w:val="none"/>
          <w:lang w:val="zh-CN"/>
        </w:rPr>
        <w:t>第七部分   评标办法</w:t>
      </w:r>
    </w:p>
    <w:p w14:paraId="59BAFF98">
      <w:pPr>
        <w:pStyle w:val="36"/>
        <w:outlineLvl w:val="9"/>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 </w:t>
      </w:r>
    </w:p>
    <w:p w14:paraId="19F70A15">
      <w:pPr>
        <w:widowControl/>
        <w:autoSpaceDE w:val="0"/>
        <w:autoSpaceDN w:val="0"/>
        <w:adjustRightInd w:val="0"/>
        <w:spacing w:line="460" w:lineRule="atLeast"/>
        <w:ind w:firstLine="440" w:firstLineChars="200"/>
        <w:textAlignment w:val="bottom"/>
        <w:rPr>
          <w:rFonts w:hint="eastAsia" w:ascii="宋体" w:hAnsi="宋体"/>
          <w:color w:val="auto"/>
          <w:sz w:val="22"/>
          <w:highlight w:val="none"/>
        </w:rPr>
      </w:pPr>
      <w:r>
        <w:rPr>
          <w:rFonts w:hint="eastAsia" w:ascii="宋体" w:hAnsi="宋体"/>
          <w:color w:val="auto"/>
          <w:sz w:val="22"/>
          <w:highlight w:val="none"/>
        </w:rPr>
        <w:t>根据《</w:t>
      </w:r>
      <w:r>
        <w:rPr>
          <w:rFonts w:hint="eastAsia" w:ascii="宋体" w:hAnsi="宋体"/>
          <w:color w:val="auto"/>
          <w:sz w:val="22"/>
          <w:highlight w:val="none"/>
          <w:lang w:eastAsia="zh-CN"/>
        </w:rPr>
        <w:t>泰顺县县属国有企业采购管理办法(试行)</w:t>
      </w:r>
      <w:r>
        <w:rPr>
          <w:rFonts w:hint="eastAsia" w:ascii="宋体" w:hAnsi="宋体"/>
          <w:color w:val="auto"/>
          <w:sz w:val="22"/>
          <w:highlight w:val="none"/>
        </w:rPr>
        <w:t>》等有关政府采购法规，结合本次所要采购货物的实际，按照公平、公正、科学、择优的原则选择中标单位，特制定本评审办法。</w:t>
      </w:r>
    </w:p>
    <w:p w14:paraId="542015F8">
      <w:pPr>
        <w:adjustRightInd w:val="0"/>
        <w:spacing w:before="156" w:beforeLines="50" w:after="50" w:line="460" w:lineRule="atLeast"/>
        <w:jc w:val="center"/>
        <w:rPr>
          <w:rFonts w:hint="eastAsia" w:ascii="宋体" w:hAnsi="宋体"/>
          <w:color w:val="auto"/>
          <w:sz w:val="22"/>
          <w:highlight w:val="none"/>
        </w:rPr>
      </w:pPr>
      <w:r>
        <w:rPr>
          <w:rFonts w:hint="eastAsia" w:ascii="宋体" w:hAnsi="宋体"/>
          <w:color w:val="auto"/>
          <w:sz w:val="22"/>
          <w:highlight w:val="none"/>
        </w:rPr>
        <w:t>一、总则</w:t>
      </w:r>
    </w:p>
    <w:p w14:paraId="0CA239DD">
      <w:pPr>
        <w:adjustRightInd w:val="0"/>
        <w:snapToGrid w:val="0"/>
        <w:spacing w:line="400" w:lineRule="exact"/>
        <w:ind w:firstLine="420"/>
        <w:rPr>
          <w:rFonts w:hint="eastAsia" w:ascii="宋体" w:hAnsi="宋体"/>
          <w:color w:val="auto"/>
          <w:sz w:val="22"/>
          <w:highlight w:val="none"/>
        </w:rPr>
      </w:pPr>
      <w:r>
        <w:rPr>
          <w:rFonts w:hint="eastAsia" w:ascii="宋体" w:hAnsi="宋体"/>
          <w:color w:val="auto"/>
          <w:sz w:val="22"/>
          <w:highlight w:val="none"/>
        </w:rPr>
        <w:t>评标工作遵循公平、公正、民主、科学的原则和诚实、信誉、效率的服务原则。本着科学、严谨的态度，认真进行评标。择优选定产品的服务投标供应商，确保工程质量、交货期，节约投资，最大限度的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投标供应商，评标委员会不作任何落标解释。投标供应商不得以任何方式干扰招投标工作的进行，一经发现其投标文件将被拒绝。</w:t>
      </w:r>
    </w:p>
    <w:p w14:paraId="0ECC2E83">
      <w:pPr>
        <w:adjustRightInd w:val="0"/>
        <w:spacing w:before="156" w:beforeLines="50" w:after="50" w:line="460" w:lineRule="atLeast"/>
        <w:jc w:val="center"/>
        <w:rPr>
          <w:rFonts w:hint="eastAsia" w:ascii="宋体" w:hAnsi="宋体"/>
          <w:color w:val="auto"/>
          <w:sz w:val="22"/>
          <w:highlight w:val="none"/>
        </w:rPr>
      </w:pPr>
      <w:r>
        <w:rPr>
          <w:rFonts w:hint="eastAsia" w:ascii="宋体" w:hAnsi="宋体"/>
          <w:color w:val="auto"/>
          <w:sz w:val="22"/>
          <w:highlight w:val="none"/>
        </w:rPr>
        <w:t>二、评审组织</w:t>
      </w:r>
    </w:p>
    <w:p w14:paraId="261EB338">
      <w:pPr>
        <w:adjustRightInd w:val="0"/>
        <w:snapToGrid w:val="0"/>
        <w:spacing w:line="400" w:lineRule="exact"/>
        <w:ind w:firstLine="420"/>
        <w:rPr>
          <w:rFonts w:hint="eastAsia" w:ascii="宋体" w:hAnsi="宋体"/>
          <w:color w:val="auto"/>
          <w:sz w:val="22"/>
          <w:highlight w:val="none"/>
        </w:rPr>
      </w:pPr>
      <w:r>
        <w:rPr>
          <w:rFonts w:hint="eastAsia" w:ascii="宋体" w:hAnsi="宋体"/>
          <w:color w:val="auto"/>
          <w:sz w:val="22"/>
          <w:highlight w:val="none"/>
        </w:rPr>
        <w:t>评标工作由采购机构依法组建的评标委员会负责，评标委员会由采购单位代表以及评标专家库中随机抽取的有关技术、经济专家共同组成。评标全过程由招标管理部门监督整个开标、评标和定标过程。</w:t>
      </w:r>
    </w:p>
    <w:p w14:paraId="0CA2E982">
      <w:pPr>
        <w:adjustRightInd w:val="0"/>
        <w:snapToGrid w:val="0"/>
        <w:spacing w:line="400" w:lineRule="exact"/>
        <w:ind w:firstLine="420"/>
        <w:jc w:val="center"/>
        <w:rPr>
          <w:rFonts w:hint="eastAsia" w:ascii="宋体" w:hAnsi="宋体"/>
          <w:color w:val="auto"/>
          <w:sz w:val="22"/>
          <w:highlight w:val="none"/>
        </w:rPr>
      </w:pPr>
      <w:r>
        <w:rPr>
          <w:rFonts w:hint="eastAsia" w:ascii="宋体" w:hAnsi="宋体"/>
          <w:color w:val="auto"/>
          <w:sz w:val="22"/>
          <w:highlight w:val="none"/>
        </w:rPr>
        <w:t>三、评标程序及评审办法</w:t>
      </w:r>
    </w:p>
    <w:p w14:paraId="41C48FFD">
      <w:pPr>
        <w:adjustRightInd w:val="0"/>
        <w:spacing w:before="100" w:after="50" w:line="460" w:lineRule="atLeast"/>
        <w:ind w:firstLine="418" w:firstLineChars="190"/>
        <w:rPr>
          <w:rFonts w:hint="eastAsia" w:ascii="宋体" w:hAnsi="宋体"/>
          <w:color w:val="auto"/>
          <w:sz w:val="22"/>
          <w:highlight w:val="none"/>
        </w:rPr>
      </w:pPr>
      <w:r>
        <w:rPr>
          <w:rFonts w:hint="eastAsia" w:ascii="宋体" w:hAnsi="宋体"/>
          <w:color w:val="auto"/>
          <w:sz w:val="22"/>
          <w:highlight w:val="none"/>
        </w:rPr>
        <w:t>本次开标，技术资信标和商务标分别开启，程序如下：</w:t>
      </w:r>
    </w:p>
    <w:p w14:paraId="1AF54F3C">
      <w:pPr>
        <w:adjustRightInd w:val="0"/>
        <w:spacing w:before="100" w:after="50" w:line="460" w:lineRule="atLeast"/>
        <w:ind w:firstLine="418" w:firstLineChars="190"/>
        <w:rPr>
          <w:rFonts w:hint="eastAsia" w:ascii="宋体" w:hAnsi="宋体"/>
          <w:color w:val="auto"/>
          <w:sz w:val="22"/>
          <w:highlight w:val="none"/>
        </w:rPr>
      </w:pPr>
      <w:r>
        <w:rPr>
          <w:rFonts w:hint="eastAsia" w:ascii="宋体" w:hAnsi="宋体"/>
          <w:color w:val="auto"/>
          <w:sz w:val="22"/>
          <w:highlight w:val="none"/>
        </w:rPr>
        <w:t>第一步：当众开启投标供应商技术资信标。</w:t>
      </w:r>
    </w:p>
    <w:p w14:paraId="73C7934D">
      <w:pPr>
        <w:adjustRightInd w:val="0"/>
        <w:spacing w:before="100" w:after="50" w:line="460" w:lineRule="atLeast"/>
        <w:ind w:firstLine="418" w:firstLineChars="190"/>
        <w:rPr>
          <w:rFonts w:hint="eastAsia" w:ascii="宋体" w:hAnsi="宋体"/>
          <w:color w:val="auto"/>
          <w:sz w:val="22"/>
          <w:highlight w:val="none"/>
        </w:rPr>
      </w:pPr>
      <w:r>
        <w:rPr>
          <w:rFonts w:hint="eastAsia" w:ascii="宋体" w:hAnsi="宋体"/>
          <w:color w:val="auto"/>
          <w:sz w:val="22"/>
          <w:highlight w:val="none"/>
        </w:rPr>
        <w:t>第二步：评标委员会根据评审原则和评审办法，对各供应商的投标资格、资信、技术部分投标进行评审并打分，技术资信标不合格的供应商做无效标处理，不进入评审</w:t>
      </w:r>
      <w:r>
        <w:rPr>
          <w:rFonts w:hint="eastAsia" w:ascii="宋体" w:hAnsi="宋体"/>
          <w:color w:val="auto"/>
          <w:sz w:val="22"/>
          <w:highlight w:val="none"/>
          <w:lang w:eastAsia="zh-CN"/>
        </w:rPr>
        <w:t>。</w:t>
      </w:r>
      <w:r>
        <w:rPr>
          <w:rFonts w:hint="eastAsia" w:ascii="宋体" w:hAnsi="宋体"/>
          <w:color w:val="auto"/>
          <w:sz w:val="22"/>
          <w:highlight w:val="none"/>
        </w:rPr>
        <w:t>评审打分完成后向供应商公布资信、技术部分分值。</w:t>
      </w:r>
    </w:p>
    <w:p w14:paraId="2683A2FB">
      <w:pPr>
        <w:adjustRightInd w:val="0"/>
        <w:spacing w:before="100" w:after="50" w:line="460" w:lineRule="atLeast"/>
        <w:ind w:firstLine="418" w:firstLineChars="190"/>
        <w:rPr>
          <w:rFonts w:hint="eastAsia" w:ascii="宋体" w:hAnsi="宋体"/>
          <w:color w:val="auto"/>
          <w:sz w:val="22"/>
          <w:highlight w:val="none"/>
        </w:rPr>
      </w:pPr>
      <w:r>
        <w:rPr>
          <w:rFonts w:hint="eastAsia" w:ascii="宋体" w:hAnsi="宋体"/>
          <w:color w:val="auto"/>
          <w:sz w:val="22"/>
          <w:highlight w:val="none"/>
        </w:rPr>
        <w:t>第三步：开启商务报价标，并对供应商的商务标由评委统一进行计算得分。</w:t>
      </w:r>
    </w:p>
    <w:p w14:paraId="5433DD33">
      <w:pPr>
        <w:adjustRightInd w:val="0"/>
        <w:spacing w:before="100" w:after="50" w:line="460" w:lineRule="atLeast"/>
        <w:ind w:firstLine="418" w:firstLineChars="190"/>
        <w:rPr>
          <w:rFonts w:hint="eastAsia" w:ascii="宋体" w:hAnsi="宋体"/>
          <w:color w:val="auto"/>
          <w:sz w:val="22"/>
          <w:highlight w:val="none"/>
        </w:rPr>
      </w:pPr>
      <w:r>
        <w:rPr>
          <w:rFonts w:hint="eastAsia" w:ascii="宋体" w:hAnsi="宋体"/>
          <w:color w:val="auto"/>
          <w:sz w:val="22"/>
          <w:highlight w:val="none"/>
        </w:rPr>
        <w:t>第四步：评标委员会以技术资信标和商务报价标合计分值由高到低的顺序推荐侯选供应商名单，并提交书面评审报告。</w:t>
      </w:r>
    </w:p>
    <w:p w14:paraId="7649C7A7">
      <w:pPr>
        <w:tabs>
          <w:tab w:val="left" w:pos="0"/>
        </w:tabs>
        <w:adjustRightInd w:val="0"/>
        <w:spacing w:before="100" w:after="50" w:line="460" w:lineRule="atLeast"/>
        <w:ind w:firstLine="418" w:firstLineChars="190"/>
        <w:rPr>
          <w:rFonts w:hint="eastAsia" w:ascii="宋体" w:hAnsi="宋体"/>
          <w:color w:val="auto"/>
          <w:sz w:val="22"/>
          <w:highlight w:val="none"/>
        </w:rPr>
      </w:pPr>
      <w:r>
        <w:rPr>
          <w:rFonts w:hint="eastAsia" w:ascii="宋体" w:hAnsi="宋体"/>
          <w:color w:val="auto"/>
          <w:sz w:val="22"/>
          <w:highlight w:val="none"/>
        </w:rPr>
        <w:t>第五步：由评标委员会根据评审报告推荐综合得分第一名为中标候选人，如果综合得分相同，以报价低的优先；报价也相同，以抽签决定。</w:t>
      </w:r>
    </w:p>
    <w:p w14:paraId="4817CCD0">
      <w:pPr>
        <w:adjustRightInd w:val="0"/>
        <w:spacing w:before="100" w:after="50" w:line="460" w:lineRule="atLeast"/>
        <w:ind w:firstLine="418" w:firstLineChars="190"/>
        <w:rPr>
          <w:rFonts w:hint="eastAsia" w:ascii="宋体" w:hAnsi="宋体"/>
          <w:color w:val="auto"/>
          <w:sz w:val="22"/>
          <w:highlight w:val="none"/>
        </w:rPr>
      </w:pPr>
      <w:r>
        <w:rPr>
          <w:rFonts w:hint="eastAsia" w:ascii="宋体" w:hAnsi="宋体"/>
          <w:color w:val="auto"/>
          <w:sz w:val="22"/>
          <w:highlight w:val="none"/>
        </w:rPr>
        <w:t>中标供应商放弃中标，或者因不可抗力提出不能履行合同的，采购人可以取消其中标资格。并按供应商评标合计得分从高到低排序依次确定新的中标供应商，新的中标供应商继续适用于本条款。</w:t>
      </w:r>
    </w:p>
    <w:p w14:paraId="1C65B96E">
      <w:pPr>
        <w:adjustRightInd w:val="0"/>
        <w:spacing w:before="100" w:after="50" w:line="460" w:lineRule="atLeast"/>
        <w:ind w:firstLine="418" w:firstLineChars="190"/>
        <w:rPr>
          <w:rFonts w:hint="eastAsia" w:ascii="宋体" w:hAnsi="宋体"/>
          <w:color w:val="auto"/>
          <w:sz w:val="22"/>
          <w:highlight w:val="none"/>
        </w:rPr>
      </w:pPr>
      <w:r>
        <w:rPr>
          <w:rFonts w:hint="eastAsia" w:ascii="宋体" w:hAnsi="宋体"/>
          <w:color w:val="auto"/>
          <w:sz w:val="22"/>
          <w:highlight w:val="none"/>
        </w:rPr>
        <w:t>如果无侯选供应商，或者侯选供应商因前款规定的同样原因不能签订合同的，本次采购失败，重新组织采购。</w:t>
      </w:r>
    </w:p>
    <w:p w14:paraId="7D5184F2">
      <w:pPr>
        <w:tabs>
          <w:tab w:val="center" w:pos="4830"/>
          <w:tab w:val="left" w:pos="8427"/>
        </w:tabs>
        <w:adjustRightInd w:val="0"/>
        <w:spacing w:before="100" w:after="50" w:line="460" w:lineRule="atLeast"/>
        <w:jc w:val="left"/>
        <w:rPr>
          <w:rFonts w:hint="eastAsia" w:ascii="宋体" w:hAnsi="宋体"/>
          <w:color w:val="auto"/>
          <w:sz w:val="22"/>
          <w:highlight w:val="none"/>
        </w:rPr>
      </w:pPr>
      <w:r>
        <w:rPr>
          <w:rFonts w:ascii="宋体" w:hAnsi="宋体"/>
          <w:color w:val="auto"/>
          <w:sz w:val="22"/>
          <w:highlight w:val="none"/>
        </w:rPr>
        <w:tab/>
      </w:r>
      <w:r>
        <w:rPr>
          <w:rFonts w:hint="eastAsia" w:ascii="宋体" w:hAnsi="宋体"/>
          <w:b/>
          <w:bCs/>
          <w:color w:val="auto"/>
          <w:sz w:val="22"/>
          <w:highlight w:val="none"/>
        </w:rPr>
        <w:t>四、评分细则</w:t>
      </w:r>
      <w:r>
        <w:rPr>
          <w:rFonts w:ascii="宋体" w:hAnsi="宋体"/>
          <w:color w:val="auto"/>
          <w:sz w:val="22"/>
          <w:highlight w:val="none"/>
        </w:rPr>
        <w:tab/>
      </w:r>
    </w:p>
    <w:p w14:paraId="24771FBA">
      <w:pPr>
        <w:tabs>
          <w:tab w:val="center" w:pos="4830"/>
          <w:tab w:val="left" w:pos="8427"/>
        </w:tabs>
        <w:adjustRightInd w:val="0"/>
        <w:spacing w:before="100" w:after="50" w:line="460" w:lineRule="atLeast"/>
        <w:jc w:val="left"/>
        <w:rPr>
          <w:rFonts w:hint="eastAsia" w:ascii="宋体" w:hAnsi="宋体"/>
          <w:color w:val="auto"/>
          <w:sz w:val="22"/>
          <w:highlight w:val="none"/>
        </w:rPr>
      </w:pPr>
      <w:r>
        <w:rPr>
          <w:rFonts w:hint="eastAsia" w:ascii="宋体" w:hAnsi="宋体"/>
          <w:color w:val="auto"/>
          <w:sz w:val="22"/>
          <w:highlight w:val="none"/>
        </w:rPr>
        <w:t>四、评分细则</w:t>
      </w:r>
      <w:r>
        <w:rPr>
          <w:rFonts w:ascii="宋体" w:hAnsi="宋体"/>
          <w:color w:val="auto"/>
          <w:sz w:val="22"/>
          <w:highlight w:val="none"/>
        </w:rPr>
        <w:tab/>
      </w:r>
    </w:p>
    <w:p w14:paraId="5BC5DCD1">
      <w:pPr>
        <w:adjustRightInd w:val="0"/>
        <w:snapToGrid w:val="0"/>
        <w:spacing w:line="400" w:lineRule="exact"/>
        <w:rPr>
          <w:rFonts w:hint="eastAsia" w:ascii="宋体" w:hAnsi="宋体"/>
          <w:color w:val="auto"/>
          <w:sz w:val="22"/>
          <w:highlight w:val="none"/>
        </w:rPr>
      </w:pPr>
      <w:r>
        <w:rPr>
          <w:rFonts w:hint="eastAsia" w:ascii="宋体" w:hAnsi="宋体"/>
          <w:color w:val="auto"/>
          <w:sz w:val="22"/>
          <w:highlight w:val="none"/>
        </w:rPr>
        <w:t>（一）商务报价评分</w:t>
      </w:r>
      <w:r>
        <w:rPr>
          <w:rFonts w:hint="eastAsia" w:ascii="宋体" w:hAnsi="宋体"/>
          <w:color w:val="auto"/>
          <w:sz w:val="22"/>
          <w:highlight w:val="none"/>
          <w:lang w:val="en-US" w:eastAsia="zh-CN"/>
        </w:rPr>
        <w:t>30</w:t>
      </w:r>
      <w:r>
        <w:rPr>
          <w:rFonts w:hint="eastAsia" w:ascii="宋体" w:hAnsi="宋体"/>
          <w:color w:val="auto"/>
          <w:sz w:val="22"/>
          <w:highlight w:val="none"/>
        </w:rPr>
        <w:t>分</w:t>
      </w:r>
    </w:p>
    <w:p w14:paraId="0B249252">
      <w:pPr>
        <w:adjustRightInd w:val="0"/>
        <w:snapToGrid w:val="0"/>
        <w:spacing w:line="400" w:lineRule="exact"/>
        <w:ind w:firstLine="420"/>
        <w:rPr>
          <w:rFonts w:hint="eastAsia" w:ascii="宋体" w:hAnsi="宋体"/>
          <w:color w:val="auto"/>
          <w:sz w:val="22"/>
          <w:highlight w:val="none"/>
        </w:rPr>
      </w:pPr>
      <w:r>
        <w:rPr>
          <w:rFonts w:hint="eastAsia" w:ascii="宋体" w:hAnsi="宋体"/>
          <w:color w:val="auto"/>
          <w:sz w:val="22"/>
          <w:highlight w:val="none"/>
        </w:rPr>
        <w:t>1、以投标供应商有效投标价中的最低价为评标基准价，得满分</w:t>
      </w:r>
      <w:r>
        <w:rPr>
          <w:rFonts w:hint="eastAsia" w:ascii="宋体" w:hAnsi="宋体"/>
          <w:color w:val="auto"/>
          <w:sz w:val="22"/>
          <w:highlight w:val="none"/>
          <w:lang w:val="en-US" w:eastAsia="zh-CN"/>
        </w:rPr>
        <w:t>30</w:t>
      </w:r>
      <w:r>
        <w:rPr>
          <w:rFonts w:hint="eastAsia" w:ascii="宋体" w:hAnsi="宋体"/>
          <w:color w:val="auto"/>
          <w:sz w:val="22"/>
          <w:highlight w:val="none"/>
        </w:rPr>
        <w:t>分。商务报价评分结算公式为:投标报价得分=(评标基准价／投标报价)×</w:t>
      </w:r>
      <w:r>
        <w:rPr>
          <w:rFonts w:hint="eastAsia" w:ascii="宋体" w:hAnsi="宋体"/>
          <w:color w:val="auto"/>
          <w:sz w:val="22"/>
          <w:highlight w:val="none"/>
          <w:lang w:val="en-US" w:eastAsia="zh-CN"/>
        </w:rPr>
        <w:t>30</w:t>
      </w:r>
      <w:r>
        <w:rPr>
          <w:rFonts w:hint="eastAsia" w:ascii="宋体" w:hAnsi="宋体"/>
          <w:color w:val="auto"/>
          <w:sz w:val="22"/>
          <w:highlight w:val="none"/>
        </w:rPr>
        <w:t>%×100。</w:t>
      </w:r>
    </w:p>
    <w:p w14:paraId="7F5058E6">
      <w:pPr>
        <w:adjustRightInd w:val="0"/>
        <w:snapToGrid w:val="0"/>
        <w:spacing w:line="400" w:lineRule="exact"/>
        <w:ind w:firstLine="420"/>
        <w:rPr>
          <w:rFonts w:hint="eastAsia" w:ascii="宋体" w:hAnsi="宋体"/>
          <w:color w:val="auto"/>
          <w:sz w:val="22"/>
          <w:highlight w:val="none"/>
        </w:rPr>
      </w:pPr>
      <w:r>
        <w:rPr>
          <w:rFonts w:hint="eastAsia" w:ascii="宋体" w:hAnsi="宋体"/>
          <w:color w:val="auto"/>
          <w:sz w:val="22"/>
          <w:highlight w:val="none"/>
        </w:rPr>
        <w:t>2、如果投标供应商的报价均超出采购预算（最高限价）且采购单位确认不能支付的情况，</w:t>
      </w:r>
    </w:p>
    <w:p w14:paraId="31DA24F6">
      <w:pPr>
        <w:adjustRightInd w:val="0"/>
        <w:snapToGrid w:val="0"/>
        <w:spacing w:line="400" w:lineRule="exact"/>
        <w:rPr>
          <w:rFonts w:hint="eastAsia" w:ascii="宋体" w:hAnsi="宋体"/>
          <w:color w:val="auto"/>
          <w:sz w:val="22"/>
          <w:highlight w:val="none"/>
        </w:rPr>
      </w:pPr>
      <w:r>
        <w:rPr>
          <w:rFonts w:hint="eastAsia" w:ascii="宋体" w:hAnsi="宋体"/>
          <w:color w:val="auto"/>
          <w:sz w:val="22"/>
          <w:highlight w:val="none"/>
        </w:rPr>
        <w:t>本次招标做流（废）标处理。如果仅仅某些（个）投标供应商投标报价超出预算（最高限价）的，则拒绝接受其投标报价，该投标供应商投标按无效投标处理。</w:t>
      </w:r>
    </w:p>
    <w:p w14:paraId="347A4C56">
      <w:pPr>
        <w:adjustRightInd w:val="0"/>
        <w:snapToGrid w:val="0"/>
        <w:spacing w:line="400" w:lineRule="exact"/>
        <w:ind w:firstLine="420"/>
        <w:rPr>
          <w:rFonts w:ascii="宋体" w:hAnsi="宋体" w:cs="Arial"/>
          <w:color w:val="auto"/>
          <w:kern w:val="0"/>
          <w:sz w:val="22"/>
          <w:szCs w:val="24"/>
          <w:highlight w:val="none"/>
          <w:u w:val="single"/>
        </w:rPr>
      </w:pPr>
      <w:r>
        <w:rPr>
          <w:rFonts w:hint="eastAsia" w:ascii="宋体" w:hAnsi="宋体"/>
          <w:color w:val="auto"/>
          <w:sz w:val="22"/>
          <w:highlight w:val="none"/>
        </w:rPr>
        <w:t>3、</w:t>
      </w:r>
      <w:r>
        <w:rPr>
          <w:rFonts w:hint="eastAsia" w:ascii="宋体" w:hAnsi="宋体"/>
          <w:color w:val="auto"/>
          <w:sz w:val="22"/>
          <w:szCs w:val="22"/>
          <w:highlight w:val="none"/>
        </w:rPr>
        <w:t>本项目根据《政府采购促进中小企业发展管理办法》（财库〔2020〕46号）第九条的规定；财政部、司法部《关于政府采购支持监狱企业发展有关问题的通知》（财库〔2014〕68号）的规定：对小微企业（含监狱企业、残疾人福利性单位）投标产品给予</w:t>
      </w:r>
      <w:r>
        <w:rPr>
          <w:rFonts w:hint="eastAsia" w:ascii="宋体" w:hAnsi="宋体"/>
          <w:color w:val="auto"/>
          <w:sz w:val="22"/>
          <w:szCs w:val="22"/>
          <w:highlight w:val="none"/>
          <w:lang w:val="en-US" w:eastAsia="zh-CN"/>
        </w:rPr>
        <w:t>1</w:t>
      </w:r>
      <w:r>
        <w:rPr>
          <w:rFonts w:hint="eastAsia" w:ascii="宋体" w:hAnsi="宋体"/>
          <w:color w:val="auto"/>
          <w:sz w:val="22"/>
          <w:szCs w:val="22"/>
          <w:highlight w:val="none"/>
        </w:rPr>
        <w:t>0%的评标价格扣除。（说明：标价格折扣计算以元人民币为单位，保留两位小数，第三位四舍五入进位）。</w:t>
      </w:r>
    </w:p>
    <w:p w14:paraId="0DCBDDF5">
      <w:pPr>
        <w:adjustRightInd w:val="0"/>
        <w:snapToGrid w:val="0"/>
        <w:spacing w:line="400" w:lineRule="exact"/>
        <w:rPr>
          <w:rFonts w:hint="eastAsia" w:ascii="宋体" w:hAnsi="宋体"/>
          <w:color w:val="auto"/>
          <w:sz w:val="22"/>
          <w:highlight w:val="none"/>
        </w:rPr>
      </w:pPr>
      <w:r>
        <w:rPr>
          <w:rFonts w:hint="eastAsia" w:ascii="宋体" w:hAnsi="宋体"/>
          <w:color w:val="auto"/>
          <w:sz w:val="22"/>
          <w:highlight w:val="none"/>
        </w:rPr>
        <w:t>（二）技术资信分评分（</w:t>
      </w:r>
      <w:r>
        <w:rPr>
          <w:rFonts w:hint="eastAsia" w:ascii="宋体" w:hAnsi="宋体"/>
          <w:color w:val="auto"/>
          <w:sz w:val="22"/>
          <w:highlight w:val="none"/>
          <w:lang w:val="en-US" w:eastAsia="zh-CN"/>
        </w:rPr>
        <w:t>70</w:t>
      </w:r>
      <w:r>
        <w:rPr>
          <w:rFonts w:hint="eastAsia" w:ascii="宋体" w:hAnsi="宋体"/>
          <w:color w:val="auto"/>
          <w:sz w:val="22"/>
          <w:highlight w:val="none"/>
        </w:rPr>
        <w:t>分）</w:t>
      </w:r>
    </w:p>
    <w:p w14:paraId="2747BD90">
      <w:pPr>
        <w:adjustRightInd w:val="0"/>
        <w:snapToGrid w:val="0"/>
        <w:spacing w:line="360" w:lineRule="auto"/>
        <w:ind w:firstLine="420"/>
        <w:rPr>
          <w:rFonts w:hint="eastAsia" w:ascii="宋体" w:hAnsi="宋体"/>
          <w:color w:val="auto"/>
          <w:sz w:val="22"/>
          <w:highlight w:val="none"/>
        </w:rPr>
      </w:pPr>
      <w:r>
        <w:rPr>
          <w:rFonts w:hint="eastAsia" w:ascii="宋体" w:hAnsi="宋体"/>
          <w:color w:val="auto"/>
          <w:sz w:val="22"/>
          <w:highlight w:val="none"/>
        </w:rPr>
        <w:t>各评委成员按下列评分项目进行评定，每人一张评分计算表，由评标委员会成员各自评定打分并记实名。如任何一张表的一项评分内容分值超过规定的范围，则该张表无效。各评标委员会成员对各投标人的各项评分内容评分的合计分数的算术平均值为各投标人技术资信分得分（小数点后按四舍五入保留2位）。</w:t>
      </w:r>
    </w:p>
    <w:tbl>
      <w:tblPr>
        <w:tblStyle w:val="38"/>
        <w:tblW w:w="498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482"/>
        <w:gridCol w:w="1926"/>
        <w:gridCol w:w="4725"/>
        <w:gridCol w:w="1082"/>
      </w:tblGrid>
      <w:tr w14:paraId="458CB5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4" w:hRule="atLeast"/>
          <w:tblHeader/>
          <w:jc w:val="center"/>
        </w:trPr>
        <w:tc>
          <w:tcPr>
            <w:tcW w:w="324" w:type="pct"/>
            <w:tcBorders>
              <w:tl2br w:val="nil"/>
              <w:tr2bl w:val="nil"/>
            </w:tcBorders>
            <w:noWrap w:val="0"/>
            <w:vAlign w:val="center"/>
          </w:tcPr>
          <w:p w14:paraId="402B3666">
            <w:pPr>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序号</w:t>
            </w:r>
          </w:p>
        </w:tc>
        <w:tc>
          <w:tcPr>
            <w:tcW w:w="752" w:type="pct"/>
            <w:tcBorders>
              <w:tl2br w:val="nil"/>
              <w:tr2bl w:val="nil"/>
            </w:tcBorders>
            <w:noWrap w:val="0"/>
            <w:vAlign w:val="center"/>
          </w:tcPr>
          <w:p w14:paraId="12849325">
            <w:pPr>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评分内容</w:t>
            </w:r>
          </w:p>
        </w:tc>
        <w:tc>
          <w:tcPr>
            <w:tcW w:w="3374" w:type="pct"/>
            <w:gridSpan w:val="2"/>
            <w:tcBorders>
              <w:tl2br w:val="nil"/>
              <w:tr2bl w:val="nil"/>
            </w:tcBorders>
            <w:noWrap w:val="0"/>
            <w:vAlign w:val="center"/>
          </w:tcPr>
          <w:p w14:paraId="36663C12">
            <w:pPr>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评审标准</w:t>
            </w:r>
          </w:p>
        </w:tc>
        <w:tc>
          <w:tcPr>
            <w:tcW w:w="548" w:type="pct"/>
            <w:tcBorders>
              <w:tl2br w:val="nil"/>
              <w:tr2bl w:val="nil"/>
            </w:tcBorders>
            <w:noWrap w:val="0"/>
            <w:vAlign w:val="center"/>
          </w:tcPr>
          <w:p w14:paraId="35829402">
            <w:pPr>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分值</w:t>
            </w:r>
          </w:p>
        </w:tc>
      </w:tr>
      <w:tr w14:paraId="4CC553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4" w:hRule="atLeast"/>
          <w:tblHeader/>
          <w:jc w:val="center"/>
        </w:trPr>
        <w:tc>
          <w:tcPr>
            <w:tcW w:w="324" w:type="pct"/>
            <w:tcBorders>
              <w:tl2br w:val="nil"/>
              <w:tr2bl w:val="nil"/>
            </w:tcBorders>
            <w:noWrap w:val="0"/>
            <w:vAlign w:val="center"/>
          </w:tcPr>
          <w:p w14:paraId="753CB865">
            <w:pPr>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p>
        </w:tc>
        <w:tc>
          <w:tcPr>
            <w:tcW w:w="752" w:type="pct"/>
            <w:tcBorders>
              <w:tl2br w:val="nil"/>
              <w:tr2bl w:val="nil"/>
            </w:tcBorders>
            <w:noWrap w:val="0"/>
            <w:vAlign w:val="center"/>
          </w:tcPr>
          <w:p w14:paraId="746D9564">
            <w:pPr>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投标人综合实力</w:t>
            </w:r>
          </w:p>
        </w:tc>
        <w:tc>
          <w:tcPr>
            <w:tcW w:w="3374" w:type="pct"/>
            <w:gridSpan w:val="2"/>
            <w:tcBorders>
              <w:tl2br w:val="nil"/>
              <w:tr2bl w:val="nil"/>
            </w:tcBorders>
            <w:noWrap w:val="0"/>
            <w:vAlign w:val="center"/>
          </w:tcPr>
          <w:p w14:paraId="29056BA8">
            <w:pPr>
              <w:jc w:val="both"/>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投标人通过质量管理体系认证、职业健康安全管理体系认证、环境管理体系认证，且在有效期内的，每提供一项得1分，满分3分。</w:t>
            </w:r>
          </w:p>
          <w:p w14:paraId="362896E5">
            <w:pPr>
              <w:jc w:val="both"/>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注：须提供以上证书复印件并加盖公章。</w:t>
            </w:r>
          </w:p>
        </w:tc>
        <w:tc>
          <w:tcPr>
            <w:tcW w:w="548" w:type="pct"/>
            <w:tcBorders>
              <w:tl2br w:val="nil"/>
              <w:tr2bl w:val="nil"/>
            </w:tcBorders>
            <w:noWrap w:val="0"/>
            <w:vAlign w:val="center"/>
          </w:tcPr>
          <w:p w14:paraId="7CFFA1EC">
            <w:pPr>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3分</w:t>
            </w:r>
          </w:p>
        </w:tc>
      </w:tr>
      <w:tr w14:paraId="1157D6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78" w:hRule="atLeast"/>
          <w:tblHeader/>
          <w:jc w:val="center"/>
        </w:trPr>
        <w:tc>
          <w:tcPr>
            <w:tcW w:w="324" w:type="pct"/>
            <w:tcBorders>
              <w:tl2br w:val="nil"/>
              <w:tr2bl w:val="nil"/>
            </w:tcBorders>
            <w:noWrap w:val="0"/>
            <w:vAlign w:val="center"/>
          </w:tcPr>
          <w:p w14:paraId="30B00C63">
            <w:pPr>
              <w:jc w:val="center"/>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p>
        </w:tc>
        <w:tc>
          <w:tcPr>
            <w:tcW w:w="752" w:type="pct"/>
            <w:tcBorders>
              <w:tl2br w:val="nil"/>
              <w:tr2bl w:val="nil"/>
            </w:tcBorders>
            <w:noWrap w:val="0"/>
            <w:vAlign w:val="center"/>
          </w:tcPr>
          <w:p w14:paraId="3A853DD0">
            <w:pPr>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投标</w:t>
            </w:r>
            <w:r>
              <w:rPr>
                <w:rFonts w:hint="eastAsia" w:ascii="宋体" w:hAnsi="宋体" w:eastAsia="宋体" w:cs="宋体"/>
                <w:b w:val="0"/>
                <w:bCs w:val="0"/>
                <w:color w:val="000000" w:themeColor="text1"/>
                <w:sz w:val="24"/>
                <w:szCs w:val="24"/>
                <w14:textFill>
                  <w14:solidFill>
                    <w14:schemeClr w14:val="tx1"/>
                  </w14:solidFill>
                </w14:textFill>
              </w:rPr>
              <w:t>业绩</w:t>
            </w:r>
          </w:p>
        </w:tc>
        <w:tc>
          <w:tcPr>
            <w:tcW w:w="3374" w:type="pct"/>
            <w:gridSpan w:val="2"/>
            <w:tcBorders>
              <w:tl2br w:val="nil"/>
              <w:tr2bl w:val="nil"/>
            </w:tcBorders>
            <w:noWrap w:val="0"/>
            <w:vAlign w:val="center"/>
          </w:tcPr>
          <w:p w14:paraId="5D59CE01">
            <w:pPr>
              <w:jc w:val="both"/>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投标人或投标产品制造商</w:t>
            </w:r>
            <w:r>
              <w:rPr>
                <w:rFonts w:hint="eastAsia" w:ascii="宋体" w:hAnsi="宋体" w:eastAsia="宋体" w:cs="宋体"/>
                <w:b w:val="0"/>
                <w:bCs w:val="0"/>
                <w:color w:val="000000" w:themeColor="text1"/>
                <w:sz w:val="24"/>
                <w:szCs w:val="24"/>
                <w:lang w:val="en-US" w:eastAsia="zh-CN"/>
                <w14:textFill>
                  <w14:solidFill>
                    <w14:schemeClr w14:val="tx1"/>
                  </w14:solidFill>
                </w14:textFill>
              </w:rPr>
              <w:t>具有类似项目业绩的，每提供一个得1分，最高得3分；</w:t>
            </w:r>
          </w:p>
          <w:p w14:paraId="0B534C19">
            <w:pPr>
              <w:jc w:val="both"/>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注：须提供该项目业绩的中标通知书和合同复印件并加盖公章。</w:t>
            </w:r>
          </w:p>
        </w:tc>
        <w:tc>
          <w:tcPr>
            <w:tcW w:w="548" w:type="pct"/>
            <w:tcBorders>
              <w:tl2br w:val="nil"/>
              <w:tr2bl w:val="nil"/>
            </w:tcBorders>
            <w:noWrap w:val="0"/>
            <w:vAlign w:val="center"/>
          </w:tcPr>
          <w:p w14:paraId="11F91D05">
            <w:pPr>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14:textFill>
                  <w14:solidFill>
                    <w14:schemeClr w14:val="tx1"/>
                  </w14:solidFill>
                </w14:textFill>
              </w:rPr>
              <w:t>分</w:t>
            </w:r>
          </w:p>
        </w:tc>
      </w:tr>
      <w:tr w14:paraId="63CBAF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1" w:hRule="atLeast"/>
          <w:tblHeader/>
          <w:jc w:val="center"/>
        </w:trPr>
        <w:tc>
          <w:tcPr>
            <w:tcW w:w="324" w:type="pct"/>
            <w:tcBorders>
              <w:tl2br w:val="nil"/>
              <w:tr2bl w:val="nil"/>
            </w:tcBorders>
            <w:noWrap w:val="0"/>
            <w:vAlign w:val="center"/>
          </w:tcPr>
          <w:p w14:paraId="7373C44A">
            <w:pPr>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p>
        </w:tc>
        <w:tc>
          <w:tcPr>
            <w:tcW w:w="752" w:type="pct"/>
            <w:tcBorders>
              <w:tl2br w:val="nil"/>
              <w:tr2bl w:val="nil"/>
            </w:tcBorders>
            <w:noWrap w:val="0"/>
            <w:vAlign w:val="center"/>
          </w:tcPr>
          <w:p w14:paraId="4A7726A2">
            <w:pPr>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投标响应</w:t>
            </w:r>
          </w:p>
        </w:tc>
        <w:tc>
          <w:tcPr>
            <w:tcW w:w="3374" w:type="pct"/>
            <w:gridSpan w:val="2"/>
            <w:tcBorders>
              <w:tl2br w:val="nil"/>
              <w:tr2bl w:val="nil"/>
            </w:tcBorders>
            <w:noWrap w:val="0"/>
            <w:vAlign w:val="center"/>
          </w:tcPr>
          <w:p w14:paraId="76A39B28">
            <w:pPr>
              <w:jc w:val="both"/>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根据招标文件第二部分、招标内容及技术要求中的“二、技术参数要求”进行响应，普通条款每偏离一条扣0.5分，标记“★”技术指标为重要技术指标，每负偏离一条扣1分。</w:t>
            </w:r>
            <w:r>
              <w:rPr>
                <w:rFonts w:hint="eastAsia" w:ascii="宋体" w:hAnsi="宋体" w:cs="宋体"/>
                <w:b w:val="0"/>
                <w:bCs w:val="0"/>
                <w:color w:val="000000" w:themeColor="text1"/>
                <w:sz w:val="24"/>
                <w:szCs w:val="24"/>
                <w:lang w:val="en-US" w:eastAsia="zh-CN"/>
                <w14:textFill>
                  <w14:solidFill>
                    <w14:schemeClr w14:val="tx1"/>
                  </w14:solidFill>
                </w14:textFill>
              </w:rPr>
              <w:t xml:space="preserve"> </w:t>
            </w:r>
          </w:p>
          <w:p w14:paraId="6662262E">
            <w:pPr>
              <w:jc w:val="both"/>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注：投标产品技术性能参数需在《商务和技术偏差表》中进行逐项响应。</w:t>
            </w:r>
          </w:p>
        </w:tc>
        <w:tc>
          <w:tcPr>
            <w:tcW w:w="548" w:type="pct"/>
            <w:tcBorders>
              <w:tl2br w:val="nil"/>
              <w:tr2bl w:val="nil"/>
            </w:tcBorders>
            <w:noWrap w:val="0"/>
            <w:vAlign w:val="center"/>
          </w:tcPr>
          <w:p w14:paraId="6A1939C6">
            <w:pPr>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18分</w:t>
            </w:r>
          </w:p>
        </w:tc>
      </w:tr>
      <w:tr w14:paraId="7FE117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3" w:hRule="atLeast"/>
          <w:tblHeader/>
          <w:jc w:val="center"/>
        </w:trPr>
        <w:tc>
          <w:tcPr>
            <w:tcW w:w="324" w:type="pct"/>
            <w:vMerge w:val="restart"/>
            <w:tcBorders>
              <w:tl2br w:val="nil"/>
              <w:tr2bl w:val="nil"/>
            </w:tcBorders>
            <w:noWrap w:val="0"/>
            <w:vAlign w:val="center"/>
          </w:tcPr>
          <w:p w14:paraId="4A9513EC">
            <w:pPr>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4</w:t>
            </w:r>
          </w:p>
        </w:tc>
        <w:tc>
          <w:tcPr>
            <w:tcW w:w="752" w:type="pct"/>
            <w:vMerge w:val="restart"/>
            <w:tcBorders>
              <w:tl2br w:val="nil"/>
              <w:tr2bl w:val="nil"/>
            </w:tcBorders>
            <w:noWrap w:val="0"/>
            <w:vAlign w:val="center"/>
          </w:tcPr>
          <w:p w14:paraId="036C487C">
            <w:pPr>
              <w:jc w:val="left"/>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项目组成员情况</w:t>
            </w:r>
          </w:p>
        </w:tc>
        <w:tc>
          <w:tcPr>
            <w:tcW w:w="977" w:type="pct"/>
            <w:tcBorders>
              <w:tl2br w:val="nil"/>
              <w:tr2bl w:val="nil"/>
            </w:tcBorders>
            <w:noWrap w:val="0"/>
            <w:vAlign w:val="center"/>
          </w:tcPr>
          <w:p w14:paraId="1214AB26">
            <w:pPr>
              <w:jc w:val="left"/>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项目负责人</w:t>
            </w:r>
          </w:p>
        </w:tc>
        <w:tc>
          <w:tcPr>
            <w:tcW w:w="2397" w:type="pct"/>
            <w:tcBorders>
              <w:tl2br w:val="nil"/>
              <w:tr2bl w:val="nil"/>
            </w:tcBorders>
            <w:noWrap w:val="0"/>
            <w:vAlign w:val="center"/>
          </w:tcPr>
          <w:p w14:paraId="3D35DCA3">
            <w:pPr>
              <w:jc w:val="both"/>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t>具有</w:t>
            </w:r>
            <w:r>
              <w:rPr>
                <w:rFonts w:hint="eastAsia" w:ascii="宋体" w:hAnsi="宋体" w:eastAsia="宋体" w:cs="宋体"/>
                <w:b w:val="0"/>
                <w:bCs w:val="0"/>
                <w:color w:val="000000" w:themeColor="text1"/>
                <w:sz w:val="24"/>
                <w:szCs w:val="24"/>
                <w:lang w:val="en-US" w:eastAsia="zh-CN"/>
                <w14:textFill>
                  <w14:solidFill>
                    <w14:schemeClr w14:val="tx1"/>
                  </w14:solidFill>
                </w14:textFill>
              </w:rPr>
              <w:t>机电工程贰级及以上</w:t>
            </w:r>
            <w:r>
              <w:rPr>
                <w:rFonts w:hint="eastAsia" w:ascii="宋体" w:hAnsi="宋体" w:eastAsia="宋体" w:cs="宋体"/>
                <w:b w:val="0"/>
                <w:bCs w:val="0"/>
                <w:color w:val="000000" w:themeColor="text1"/>
                <w:sz w:val="24"/>
                <w:szCs w:val="24"/>
                <w14:textFill>
                  <w14:solidFill>
                    <w14:schemeClr w14:val="tx1"/>
                  </w14:solidFill>
                </w14:textFill>
              </w:rPr>
              <w:t>建造师</w:t>
            </w:r>
            <w:r>
              <w:rPr>
                <w:rFonts w:hint="eastAsia" w:ascii="宋体" w:hAnsi="宋体" w:eastAsia="宋体" w:cs="宋体"/>
                <w:b w:val="0"/>
                <w:bCs w:val="0"/>
                <w:color w:val="000000" w:themeColor="text1"/>
                <w:sz w:val="24"/>
                <w:szCs w:val="24"/>
                <w:lang w:val="en-US" w:eastAsia="zh-CN"/>
                <w14:textFill>
                  <w14:solidFill>
                    <w14:schemeClr w14:val="tx1"/>
                  </w14:solidFill>
                </w14:textFill>
              </w:rPr>
              <w:t>的</w:t>
            </w:r>
            <w:r>
              <w:rPr>
                <w:rFonts w:hint="eastAsia" w:ascii="宋体" w:hAnsi="宋体" w:eastAsia="宋体" w:cs="宋体"/>
                <w:b w:val="0"/>
                <w:bCs w:val="0"/>
                <w:color w:val="000000" w:themeColor="text1"/>
                <w:sz w:val="24"/>
                <w:szCs w:val="24"/>
                <w14:textFill>
                  <w14:solidFill>
                    <w14:schemeClr w14:val="tx1"/>
                  </w14:solidFill>
                </w14:textFill>
              </w:rPr>
              <w:t>得</w:t>
            </w: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t>分</w:t>
            </w:r>
            <w:r>
              <w:rPr>
                <w:rFonts w:hint="eastAsia" w:ascii="宋体" w:hAnsi="宋体" w:eastAsia="宋体" w:cs="宋体"/>
                <w:b w:val="0"/>
                <w:bCs w:val="0"/>
                <w:color w:val="000000" w:themeColor="text1"/>
                <w:sz w:val="24"/>
                <w:szCs w:val="24"/>
                <w:lang w:eastAsia="zh-CN"/>
                <w14:textFill>
                  <w14:solidFill>
                    <w14:schemeClr w14:val="tx1"/>
                  </w14:solidFill>
                </w14:textFill>
              </w:rPr>
              <w:t>；</w:t>
            </w:r>
          </w:p>
          <w:p w14:paraId="18D30F08">
            <w:pPr>
              <w:jc w:val="both"/>
              <w:rPr>
                <w:rFonts w:hint="default" w:eastAsia="宋体"/>
                <w:lang w:val="en-US" w:eastAsia="zh-CN"/>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r>
              <w:rPr>
                <w:rFonts w:hint="eastAsia" w:ascii="宋体" w:hAnsi="宋体" w:eastAsia="宋体" w:cs="宋体"/>
                <w:b w:val="0"/>
                <w:bCs w:val="0"/>
                <w:color w:val="000000" w:themeColor="text1"/>
                <w:sz w:val="24"/>
                <w:szCs w:val="24"/>
                <w14:textFill>
                  <w14:solidFill>
                    <w14:schemeClr w14:val="tx1"/>
                  </w14:solidFill>
                </w14:textFill>
              </w:rPr>
              <w:t>具有</w:t>
            </w:r>
            <w:r>
              <w:rPr>
                <w:rFonts w:hint="eastAsia" w:ascii="宋体" w:hAnsi="宋体" w:eastAsia="宋体" w:cs="宋体"/>
                <w:b w:val="0"/>
                <w:bCs w:val="0"/>
                <w:color w:val="000000" w:themeColor="text1"/>
                <w:sz w:val="24"/>
                <w:szCs w:val="24"/>
                <w:lang w:val="en-US" w:eastAsia="zh-CN"/>
                <w14:textFill>
                  <w14:solidFill>
                    <w14:schemeClr w14:val="tx1"/>
                  </w14:solidFill>
                </w14:textFill>
              </w:rPr>
              <w:t>机电或设备类中级及以上工程师职称</w:t>
            </w:r>
            <w:r>
              <w:rPr>
                <w:rFonts w:hint="eastAsia" w:ascii="宋体" w:hAnsi="宋体" w:eastAsia="宋体" w:cs="宋体"/>
                <w:b w:val="0"/>
                <w:bCs w:val="0"/>
                <w:color w:val="000000" w:themeColor="text1"/>
                <w:sz w:val="24"/>
                <w:szCs w:val="24"/>
                <w14:textFill>
                  <w14:solidFill>
                    <w14:schemeClr w14:val="tx1"/>
                  </w14:solidFill>
                </w14:textFill>
              </w:rPr>
              <w:t>的得</w:t>
            </w: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bookmarkStart w:id="229" w:name="_GoBack"/>
            <w:bookmarkEnd w:id="229"/>
            <w:r>
              <w:rPr>
                <w:rFonts w:hint="eastAsia" w:ascii="宋体" w:hAnsi="宋体" w:eastAsia="宋体" w:cs="宋体"/>
                <w:b w:val="0"/>
                <w:bCs w:val="0"/>
                <w:color w:val="000000" w:themeColor="text1"/>
                <w:sz w:val="24"/>
                <w:szCs w:val="24"/>
                <w:lang w:val="en-US" w:eastAsia="zh-CN"/>
                <w14:textFill>
                  <w14:solidFill>
                    <w14:schemeClr w14:val="tx1"/>
                  </w14:solidFill>
                </w14:textFill>
              </w:rPr>
              <w:t>分。</w:t>
            </w:r>
          </w:p>
        </w:tc>
        <w:tc>
          <w:tcPr>
            <w:tcW w:w="548" w:type="pct"/>
            <w:tcBorders>
              <w:tl2br w:val="nil"/>
              <w:tr2bl w:val="nil"/>
            </w:tcBorders>
            <w:noWrap w:val="0"/>
            <w:vAlign w:val="center"/>
          </w:tcPr>
          <w:p w14:paraId="777050DA">
            <w:pPr>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3分</w:t>
            </w:r>
          </w:p>
        </w:tc>
      </w:tr>
      <w:tr w14:paraId="6C5E53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5" w:hRule="atLeast"/>
          <w:tblHeader/>
          <w:jc w:val="center"/>
        </w:trPr>
        <w:tc>
          <w:tcPr>
            <w:tcW w:w="324" w:type="pct"/>
            <w:vMerge w:val="continue"/>
            <w:tcBorders>
              <w:tl2br w:val="nil"/>
              <w:tr2bl w:val="nil"/>
            </w:tcBorders>
            <w:noWrap w:val="0"/>
            <w:vAlign w:val="center"/>
          </w:tcPr>
          <w:p w14:paraId="4318AC0F">
            <w:pPr>
              <w:jc w:val="center"/>
              <w:rPr>
                <w:b w:val="0"/>
                <w:bCs w:val="0"/>
                <w:color w:val="000000" w:themeColor="text1"/>
                <w:sz w:val="24"/>
                <w:szCs w:val="24"/>
                <w14:textFill>
                  <w14:solidFill>
                    <w14:schemeClr w14:val="tx1"/>
                  </w14:solidFill>
                </w14:textFill>
              </w:rPr>
            </w:pPr>
          </w:p>
        </w:tc>
        <w:tc>
          <w:tcPr>
            <w:tcW w:w="752" w:type="pct"/>
            <w:vMerge w:val="continue"/>
            <w:tcBorders>
              <w:tl2br w:val="nil"/>
              <w:tr2bl w:val="nil"/>
            </w:tcBorders>
            <w:noWrap w:val="0"/>
            <w:vAlign w:val="center"/>
          </w:tcPr>
          <w:p w14:paraId="26088A04">
            <w:pPr>
              <w:jc w:val="center"/>
              <w:rPr>
                <w:b w:val="0"/>
                <w:bCs w:val="0"/>
                <w:color w:val="000000" w:themeColor="text1"/>
                <w:sz w:val="24"/>
                <w:szCs w:val="24"/>
                <w14:textFill>
                  <w14:solidFill>
                    <w14:schemeClr w14:val="tx1"/>
                  </w14:solidFill>
                </w14:textFill>
              </w:rPr>
            </w:pPr>
          </w:p>
        </w:tc>
        <w:tc>
          <w:tcPr>
            <w:tcW w:w="977" w:type="pct"/>
            <w:tcBorders>
              <w:tl2br w:val="nil"/>
              <w:tr2bl w:val="nil"/>
            </w:tcBorders>
            <w:noWrap w:val="0"/>
            <w:vAlign w:val="center"/>
          </w:tcPr>
          <w:p w14:paraId="66D631AC">
            <w:pPr>
              <w:jc w:val="left"/>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项目</w:t>
            </w:r>
            <w:r>
              <w:rPr>
                <w:rFonts w:hint="eastAsia" w:ascii="宋体" w:hAnsi="宋体" w:eastAsia="宋体" w:cs="宋体"/>
                <w:b w:val="0"/>
                <w:bCs w:val="0"/>
                <w:color w:val="000000" w:themeColor="text1"/>
                <w:sz w:val="24"/>
                <w:szCs w:val="24"/>
                <w:lang w:val="en-US" w:eastAsia="zh-CN"/>
                <w14:textFill>
                  <w14:solidFill>
                    <w14:schemeClr w14:val="tx1"/>
                  </w14:solidFill>
                </w14:textFill>
              </w:rPr>
              <w:t>技术</w:t>
            </w:r>
            <w:r>
              <w:rPr>
                <w:rFonts w:hint="eastAsia" w:ascii="宋体" w:hAnsi="宋体" w:eastAsia="宋体" w:cs="宋体"/>
                <w:b w:val="0"/>
                <w:bCs w:val="0"/>
                <w:color w:val="000000" w:themeColor="text1"/>
                <w:sz w:val="24"/>
                <w:szCs w:val="24"/>
                <w14:textFill>
                  <w14:solidFill>
                    <w14:schemeClr w14:val="tx1"/>
                  </w14:solidFill>
                </w14:textFill>
              </w:rPr>
              <w:t>负责人</w:t>
            </w:r>
          </w:p>
        </w:tc>
        <w:tc>
          <w:tcPr>
            <w:tcW w:w="2397" w:type="pct"/>
            <w:tcBorders>
              <w:tl2br w:val="nil"/>
              <w:tr2bl w:val="nil"/>
            </w:tcBorders>
            <w:noWrap w:val="0"/>
            <w:vAlign w:val="center"/>
          </w:tcPr>
          <w:p w14:paraId="75DB2F98">
            <w:pPr>
              <w:jc w:val="both"/>
              <w:rPr>
                <w:rFonts w:hint="default"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具有</w:t>
            </w:r>
            <w:r>
              <w:rPr>
                <w:rFonts w:hint="eastAsia" w:ascii="宋体" w:hAnsi="宋体" w:cs="宋体"/>
                <w:b w:val="0"/>
                <w:bCs w:val="0"/>
                <w:color w:val="000000" w:themeColor="text1"/>
                <w:sz w:val="24"/>
                <w:szCs w:val="24"/>
                <w:lang w:val="en-US" w:eastAsia="zh-CN"/>
                <w14:textFill>
                  <w14:solidFill>
                    <w14:schemeClr w14:val="tx1"/>
                  </w14:solidFill>
                </w14:textFill>
              </w:rPr>
              <w:t>与本项目相关专业中级及以上工程师职称的</w:t>
            </w:r>
            <w:r>
              <w:rPr>
                <w:rFonts w:hint="eastAsia" w:ascii="宋体" w:hAnsi="宋体" w:eastAsia="宋体" w:cs="宋体"/>
                <w:b w:val="0"/>
                <w:bCs w:val="0"/>
                <w:color w:val="000000" w:themeColor="text1"/>
                <w:sz w:val="24"/>
                <w:szCs w:val="24"/>
                <w:lang w:val="en-US" w:eastAsia="zh-CN"/>
                <w14:textFill>
                  <w14:solidFill>
                    <w14:schemeClr w14:val="tx1"/>
                  </w14:solidFill>
                </w14:textFill>
              </w:rPr>
              <w:t>得</w:t>
            </w:r>
            <w:r>
              <w:rPr>
                <w:rFonts w:hint="eastAsia" w:ascii="宋体" w:hAnsi="宋体" w:cs="宋体"/>
                <w:b w:val="0"/>
                <w:bCs w:val="0"/>
                <w:color w:val="000000" w:themeColor="text1"/>
                <w:sz w:val="24"/>
                <w:szCs w:val="24"/>
                <w:lang w:val="en-US" w:eastAsia="zh-CN"/>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分。</w:t>
            </w:r>
          </w:p>
        </w:tc>
        <w:tc>
          <w:tcPr>
            <w:tcW w:w="548" w:type="pct"/>
            <w:tcBorders>
              <w:tl2br w:val="nil"/>
              <w:tr2bl w:val="nil"/>
            </w:tcBorders>
            <w:noWrap w:val="0"/>
            <w:vAlign w:val="center"/>
          </w:tcPr>
          <w:p w14:paraId="2085A41A">
            <w:pPr>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2分</w:t>
            </w:r>
          </w:p>
        </w:tc>
      </w:tr>
      <w:tr w14:paraId="35C1D6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tblHeader/>
          <w:jc w:val="center"/>
        </w:trPr>
        <w:tc>
          <w:tcPr>
            <w:tcW w:w="324" w:type="pct"/>
            <w:vMerge w:val="continue"/>
            <w:tcBorders>
              <w:tl2br w:val="nil"/>
              <w:tr2bl w:val="nil"/>
            </w:tcBorders>
            <w:noWrap w:val="0"/>
            <w:vAlign w:val="center"/>
          </w:tcPr>
          <w:p w14:paraId="75BA19D4">
            <w:pPr>
              <w:jc w:val="center"/>
              <w:rPr>
                <w:b w:val="0"/>
                <w:bCs w:val="0"/>
                <w:color w:val="000000" w:themeColor="text1"/>
                <w:sz w:val="24"/>
                <w:szCs w:val="24"/>
                <w14:textFill>
                  <w14:solidFill>
                    <w14:schemeClr w14:val="tx1"/>
                  </w14:solidFill>
                </w14:textFill>
              </w:rPr>
            </w:pPr>
          </w:p>
        </w:tc>
        <w:tc>
          <w:tcPr>
            <w:tcW w:w="752" w:type="pct"/>
            <w:vMerge w:val="continue"/>
            <w:tcBorders>
              <w:tl2br w:val="nil"/>
              <w:tr2bl w:val="nil"/>
            </w:tcBorders>
            <w:noWrap w:val="0"/>
            <w:vAlign w:val="center"/>
          </w:tcPr>
          <w:p w14:paraId="07DD0CD6">
            <w:pPr>
              <w:jc w:val="center"/>
              <w:rPr>
                <w:b w:val="0"/>
                <w:bCs w:val="0"/>
                <w:color w:val="000000" w:themeColor="text1"/>
                <w:sz w:val="24"/>
                <w:szCs w:val="24"/>
                <w14:textFill>
                  <w14:solidFill>
                    <w14:schemeClr w14:val="tx1"/>
                  </w14:solidFill>
                </w14:textFill>
              </w:rPr>
            </w:pPr>
          </w:p>
        </w:tc>
        <w:tc>
          <w:tcPr>
            <w:tcW w:w="977" w:type="pct"/>
            <w:tcBorders>
              <w:tl2br w:val="nil"/>
              <w:tr2bl w:val="nil"/>
            </w:tcBorders>
            <w:noWrap w:val="0"/>
            <w:vAlign w:val="center"/>
          </w:tcPr>
          <w:p w14:paraId="7026618C">
            <w:pPr>
              <w:jc w:val="left"/>
              <w:rPr>
                <w:rFonts w:hint="eastAsia" w:ascii="宋体" w:hAnsi="宋体" w:eastAsia="宋体" w:cs="宋体"/>
                <w:b w:val="0"/>
                <w:bCs w:val="0"/>
                <w:color w:val="000000" w:themeColor="text1"/>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项目安全负责人</w:t>
            </w:r>
          </w:p>
        </w:tc>
        <w:tc>
          <w:tcPr>
            <w:tcW w:w="2397" w:type="pct"/>
            <w:tcBorders>
              <w:tl2br w:val="nil"/>
              <w:tr2bl w:val="nil"/>
            </w:tcBorders>
            <w:noWrap w:val="0"/>
            <w:vAlign w:val="center"/>
          </w:tcPr>
          <w:p w14:paraId="7BC01260">
            <w:pPr>
              <w:jc w:val="both"/>
              <w:rPr>
                <w:rFonts w:hint="eastAsia" w:ascii="宋体" w:hAnsi="宋体" w:eastAsia="宋体" w:cs="宋体"/>
                <w:b w:val="0"/>
                <w:bCs w:val="0"/>
                <w:color w:val="000000" w:themeColor="text1"/>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具有</w:t>
            </w:r>
            <w:r>
              <w:rPr>
                <w:rFonts w:hint="eastAsia" w:ascii="宋体" w:hAnsi="宋体" w:cs="宋体"/>
                <w:b w:val="0"/>
                <w:bCs w:val="0"/>
                <w:color w:val="000000" w:themeColor="text1"/>
                <w:sz w:val="24"/>
                <w:szCs w:val="24"/>
                <w:lang w:val="en-US" w:eastAsia="zh-CN"/>
                <w14:textFill>
                  <w14:solidFill>
                    <w14:schemeClr w14:val="tx1"/>
                  </w14:solidFill>
                </w14:textFill>
              </w:rPr>
              <w:t>安全生产许可证B类及以上的</w:t>
            </w:r>
            <w:r>
              <w:rPr>
                <w:rFonts w:hint="eastAsia" w:ascii="宋体" w:hAnsi="宋体" w:eastAsia="宋体" w:cs="宋体"/>
                <w:b w:val="0"/>
                <w:bCs w:val="0"/>
                <w:color w:val="000000" w:themeColor="text1"/>
                <w:sz w:val="24"/>
                <w:szCs w:val="24"/>
                <w14:textFill>
                  <w14:solidFill>
                    <w14:schemeClr w14:val="tx1"/>
                  </w14:solidFill>
                </w14:textFill>
              </w:rPr>
              <w:t>得</w:t>
            </w: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t>分。</w:t>
            </w:r>
          </w:p>
        </w:tc>
        <w:tc>
          <w:tcPr>
            <w:tcW w:w="548" w:type="pct"/>
            <w:tcBorders>
              <w:tl2br w:val="nil"/>
              <w:tr2bl w:val="nil"/>
            </w:tcBorders>
            <w:noWrap w:val="0"/>
            <w:vAlign w:val="center"/>
          </w:tcPr>
          <w:p w14:paraId="42ECD0A5">
            <w:pPr>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t>分</w:t>
            </w:r>
          </w:p>
        </w:tc>
      </w:tr>
      <w:tr w14:paraId="3A5F02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5" w:hRule="atLeast"/>
          <w:tblHeader/>
          <w:jc w:val="center"/>
        </w:trPr>
        <w:tc>
          <w:tcPr>
            <w:tcW w:w="324" w:type="pct"/>
            <w:vMerge w:val="continue"/>
            <w:tcBorders>
              <w:tl2br w:val="nil"/>
              <w:tr2bl w:val="nil"/>
            </w:tcBorders>
            <w:noWrap w:val="0"/>
            <w:vAlign w:val="center"/>
          </w:tcPr>
          <w:p w14:paraId="7BD7F54B">
            <w:pPr>
              <w:jc w:val="center"/>
              <w:rPr>
                <w:b w:val="0"/>
                <w:bCs w:val="0"/>
                <w:color w:val="000000" w:themeColor="text1"/>
                <w:sz w:val="24"/>
                <w:szCs w:val="24"/>
                <w14:textFill>
                  <w14:solidFill>
                    <w14:schemeClr w14:val="tx1"/>
                  </w14:solidFill>
                </w14:textFill>
              </w:rPr>
            </w:pPr>
          </w:p>
        </w:tc>
        <w:tc>
          <w:tcPr>
            <w:tcW w:w="752" w:type="pct"/>
            <w:vMerge w:val="continue"/>
            <w:tcBorders>
              <w:tl2br w:val="nil"/>
              <w:tr2bl w:val="nil"/>
            </w:tcBorders>
            <w:noWrap w:val="0"/>
            <w:vAlign w:val="center"/>
          </w:tcPr>
          <w:p w14:paraId="6D6D62E1">
            <w:pPr>
              <w:jc w:val="center"/>
              <w:rPr>
                <w:b w:val="0"/>
                <w:bCs w:val="0"/>
                <w:color w:val="000000" w:themeColor="text1"/>
                <w:sz w:val="24"/>
                <w:szCs w:val="24"/>
                <w14:textFill>
                  <w14:solidFill>
                    <w14:schemeClr w14:val="tx1"/>
                  </w14:solidFill>
                </w14:textFill>
              </w:rPr>
            </w:pPr>
          </w:p>
        </w:tc>
        <w:tc>
          <w:tcPr>
            <w:tcW w:w="977" w:type="pct"/>
            <w:tcBorders>
              <w:tl2br w:val="nil"/>
              <w:tr2bl w:val="nil"/>
            </w:tcBorders>
            <w:noWrap w:val="0"/>
            <w:vAlign w:val="center"/>
          </w:tcPr>
          <w:p w14:paraId="7F0CA51F">
            <w:pPr>
              <w:jc w:val="left"/>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项目其他员工</w:t>
            </w:r>
          </w:p>
        </w:tc>
        <w:tc>
          <w:tcPr>
            <w:tcW w:w="2397" w:type="pct"/>
            <w:tcBorders>
              <w:tl2br w:val="nil"/>
              <w:tr2bl w:val="nil"/>
            </w:tcBorders>
            <w:noWrap w:val="0"/>
            <w:vAlign w:val="center"/>
          </w:tcPr>
          <w:p w14:paraId="7A851F85">
            <w:pPr>
              <w:jc w:val="both"/>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项目组其他成员</w:t>
            </w:r>
            <w:r>
              <w:rPr>
                <w:rFonts w:hint="eastAsia" w:ascii="宋体" w:hAnsi="宋体" w:eastAsia="宋体" w:cs="宋体"/>
                <w:b w:val="0"/>
                <w:bCs w:val="0"/>
                <w:color w:val="000000" w:themeColor="text1"/>
                <w:sz w:val="24"/>
                <w:szCs w:val="24"/>
                <w:lang w:val="zh-CN"/>
                <w14:textFill>
                  <w14:solidFill>
                    <w14:schemeClr w14:val="tx1"/>
                  </w14:solidFill>
                </w14:textFill>
              </w:rPr>
              <w:t>配备</w:t>
            </w:r>
            <w:r>
              <w:rPr>
                <w:rFonts w:hint="eastAsia" w:ascii="宋体" w:hAnsi="宋体" w:eastAsia="宋体" w:cs="宋体"/>
                <w:b w:val="0"/>
                <w:bCs w:val="0"/>
                <w:color w:val="000000" w:themeColor="text1"/>
                <w:sz w:val="24"/>
                <w:szCs w:val="24"/>
                <w14:textFill>
                  <w14:solidFill>
                    <w14:schemeClr w14:val="tx1"/>
                  </w14:solidFill>
                </w14:textFill>
              </w:rPr>
              <w:t>设备安装施工员、设备安装质量员、材料员、安全员、劳务员的得</w:t>
            </w: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14:textFill>
                  <w14:solidFill>
                    <w14:schemeClr w14:val="tx1"/>
                  </w14:solidFill>
                </w14:textFill>
              </w:rPr>
              <w:t>分</w:t>
            </w:r>
            <w:r>
              <w:rPr>
                <w:rFonts w:hint="eastAsia" w:ascii="宋体" w:hAnsi="宋体" w:cs="宋体"/>
                <w:b w:val="0"/>
                <w:bCs w:val="0"/>
                <w:color w:val="000000" w:themeColor="text1"/>
                <w:sz w:val="24"/>
                <w:szCs w:val="24"/>
                <w:lang w:eastAsia="zh-CN"/>
                <w14:textFill>
                  <w14:solidFill>
                    <w14:schemeClr w14:val="tx1"/>
                  </w14:solidFill>
                </w14:textFill>
              </w:rPr>
              <w:t>。</w:t>
            </w:r>
          </w:p>
        </w:tc>
        <w:tc>
          <w:tcPr>
            <w:tcW w:w="548" w:type="pct"/>
            <w:tcBorders>
              <w:tl2br w:val="nil"/>
              <w:tr2bl w:val="nil"/>
            </w:tcBorders>
            <w:noWrap w:val="0"/>
            <w:vAlign w:val="center"/>
          </w:tcPr>
          <w:p w14:paraId="1DF3583C">
            <w:pPr>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14:textFill>
                  <w14:solidFill>
                    <w14:schemeClr w14:val="tx1"/>
                  </w14:solidFill>
                </w14:textFill>
              </w:rPr>
              <w:t>分</w:t>
            </w:r>
          </w:p>
        </w:tc>
      </w:tr>
      <w:tr w14:paraId="4A5207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7" w:hRule="atLeast"/>
          <w:tblHeader/>
          <w:jc w:val="center"/>
        </w:trPr>
        <w:tc>
          <w:tcPr>
            <w:tcW w:w="324" w:type="pct"/>
            <w:vMerge w:val="continue"/>
            <w:tcBorders>
              <w:tl2br w:val="nil"/>
              <w:tr2bl w:val="nil"/>
            </w:tcBorders>
            <w:noWrap w:val="0"/>
            <w:vAlign w:val="center"/>
          </w:tcPr>
          <w:p w14:paraId="129F399F">
            <w:pPr>
              <w:jc w:val="center"/>
              <w:rPr>
                <w:b w:val="0"/>
                <w:bCs w:val="0"/>
                <w:color w:val="000000" w:themeColor="text1"/>
                <w:sz w:val="24"/>
                <w:szCs w:val="24"/>
                <w14:textFill>
                  <w14:solidFill>
                    <w14:schemeClr w14:val="tx1"/>
                  </w14:solidFill>
                </w14:textFill>
              </w:rPr>
            </w:pPr>
          </w:p>
        </w:tc>
        <w:tc>
          <w:tcPr>
            <w:tcW w:w="752" w:type="pct"/>
            <w:vMerge w:val="continue"/>
            <w:tcBorders>
              <w:tl2br w:val="nil"/>
              <w:tr2bl w:val="nil"/>
            </w:tcBorders>
            <w:noWrap w:val="0"/>
            <w:vAlign w:val="center"/>
          </w:tcPr>
          <w:p w14:paraId="1954A321">
            <w:pPr>
              <w:jc w:val="center"/>
              <w:rPr>
                <w:b w:val="0"/>
                <w:bCs w:val="0"/>
                <w:color w:val="000000" w:themeColor="text1"/>
                <w:sz w:val="24"/>
                <w:szCs w:val="24"/>
                <w14:textFill>
                  <w14:solidFill>
                    <w14:schemeClr w14:val="tx1"/>
                  </w14:solidFill>
                </w14:textFill>
              </w:rPr>
            </w:pPr>
          </w:p>
        </w:tc>
        <w:tc>
          <w:tcPr>
            <w:tcW w:w="3923" w:type="pct"/>
            <w:gridSpan w:val="3"/>
            <w:tcBorders>
              <w:tl2br w:val="nil"/>
              <w:tr2bl w:val="nil"/>
            </w:tcBorders>
            <w:noWrap w:val="0"/>
            <w:vAlign w:val="center"/>
          </w:tcPr>
          <w:p w14:paraId="483B7F22">
            <w:pPr>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注：以上人员</w:t>
            </w:r>
            <w:r>
              <w:rPr>
                <w:rFonts w:hint="eastAsia" w:ascii="宋体" w:hAnsi="宋体" w:eastAsia="宋体" w:cs="宋体"/>
                <w:b w:val="0"/>
                <w:bCs w:val="0"/>
                <w:color w:val="000000" w:themeColor="text1"/>
                <w:sz w:val="24"/>
                <w:szCs w:val="24"/>
                <w:lang w:val="en-US" w:eastAsia="zh-CN"/>
                <w14:textFill>
                  <w14:solidFill>
                    <w14:schemeClr w14:val="tx1"/>
                  </w14:solidFill>
                </w14:textFill>
              </w:rPr>
              <w:t>不得重复，相关证书由相关政府部门颁发为准，须提供相关人员的</w:t>
            </w:r>
            <w:r>
              <w:rPr>
                <w:rFonts w:hint="eastAsia" w:ascii="宋体" w:hAnsi="宋体" w:eastAsia="宋体" w:cs="宋体"/>
                <w:b w:val="0"/>
                <w:bCs w:val="0"/>
                <w:color w:val="000000" w:themeColor="text1"/>
                <w:sz w:val="24"/>
                <w:szCs w:val="24"/>
                <w14:textFill>
                  <w14:solidFill>
                    <w14:schemeClr w14:val="tx1"/>
                  </w14:solidFill>
                </w14:textFill>
              </w:rPr>
              <w:t>证书</w:t>
            </w:r>
            <w:r>
              <w:rPr>
                <w:rFonts w:hint="eastAsia" w:ascii="宋体" w:hAnsi="宋体" w:eastAsia="宋体" w:cs="宋体"/>
                <w:b w:val="0"/>
                <w:bCs w:val="0"/>
                <w:color w:val="000000" w:themeColor="text1"/>
                <w:sz w:val="24"/>
                <w:szCs w:val="24"/>
                <w:lang w:val="en-US" w:eastAsia="zh-CN"/>
                <w14:textFill>
                  <w14:solidFill>
                    <w14:schemeClr w14:val="tx1"/>
                  </w14:solidFill>
                </w14:textFill>
              </w:rPr>
              <w:t>复印件</w:t>
            </w:r>
            <w:r>
              <w:rPr>
                <w:rFonts w:hint="eastAsia" w:ascii="宋体" w:hAnsi="宋体" w:eastAsia="宋体" w:cs="宋体"/>
                <w:b w:val="0"/>
                <w:bCs w:val="0"/>
                <w:color w:val="000000" w:themeColor="text1"/>
                <w:sz w:val="24"/>
                <w:szCs w:val="24"/>
                <w14:textFill>
                  <w14:solidFill>
                    <w14:schemeClr w14:val="tx1"/>
                  </w14:solidFill>
                </w14:textFill>
              </w:rPr>
              <w:t>及在投标单位近</w:t>
            </w: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14:textFill>
                  <w14:solidFill>
                    <w14:schemeClr w14:val="tx1"/>
                  </w14:solidFill>
                </w14:textFill>
              </w:rPr>
              <w:t>个月的社保缴费证明</w:t>
            </w:r>
            <w:r>
              <w:rPr>
                <w:rFonts w:hint="eastAsia" w:ascii="宋体" w:hAnsi="宋体" w:eastAsia="宋体" w:cs="宋体"/>
                <w:b w:val="0"/>
                <w:bCs w:val="0"/>
                <w:color w:val="000000" w:themeColor="text1"/>
                <w:sz w:val="24"/>
                <w:szCs w:val="24"/>
                <w:lang w:val="en-US" w:eastAsia="zh-CN"/>
                <w14:textFill>
                  <w14:solidFill>
                    <w14:schemeClr w14:val="tx1"/>
                  </w14:solidFill>
                </w14:textFill>
              </w:rPr>
              <w:t>并加盖公章</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否则不得分</w:t>
            </w:r>
            <w:r>
              <w:rPr>
                <w:rFonts w:hint="eastAsia" w:ascii="宋体" w:hAnsi="宋体" w:eastAsia="宋体" w:cs="宋体"/>
                <w:b w:val="0"/>
                <w:bCs w:val="0"/>
                <w:color w:val="000000" w:themeColor="text1"/>
                <w:sz w:val="24"/>
                <w:szCs w:val="24"/>
                <w:lang w:eastAsia="zh-CN"/>
                <w14:textFill>
                  <w14:solidFill>
                    <w14:schemeClr w14:val="tx1"/>
                  </w14:solidFill>
                </w14:textFill>
              </w:rPr>
              <w:t>。</w:t>
            </w:r>
          </w:p>
        </w:tc>
      </w:tr>
      <w:tr w14:paraId="337028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3" w:hRule="atLeast"/>
          <w:tblHeader/>
          <w:jc w:val="center"/>
        </w:trPr>
        <w:tc>
          <w:tcPr>
            <w:tcW w:w="324" w:type="pct"/>
            <w:tcBorders>
              <w:tl2br w:val="nil"/>
              <w:tr2bl w:val="nil"/>
            </w:tcBorders>
            <w:noWrap w:val="0"/>
            <w:vAlign w:val="center"/>
          </w:tcPr>
          <w:p w14:paraId="07CA669F">
            <w:pPr>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4</w:t>
            </w:r>
          </w:p>
        </w:tc>
        <w:tc>
          <w:tcPr>
            <w:tcW w:w="752" w:type="pct"/>
            <w:tcBorders>
              <w:tl2br w:val="nil"/>
              <w:tr2bl w:val="nil"/>
            </w:tcBorders>
            <w:noWrap w:val="0"/>
            <w:vAlign w:val="center"/>
          </w:tcPr>
          <w:p w14:paraId="011EA599">
            <w:pPr>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前期现场</w:t>
            </w:r>
            <w:r>
              <w:rPr>
                <w:rFonts w:hint="eastAsia" w:ascii="宋体" w:hAnsi="宋体" w:eastAsia="宋体" w:cs="宋体"/>
                <w:b w:val="0"/>
                <w:bCs w:val="0"/>
                <w:color w:val="000000" w:themeColor="text1"/>
                <w:sz w:val="24"/>
                <w:szCs w:val="24"/>
                <w:lang w:val="en-US" w:eastAsia="zh-CN"/>
                <w14:textFill>
                  <w14:solidFill>
                    <w14:schemeClr w14:val="tx1"/>
                  </w14:solidFill>
                </w14:textFill>
              </w:rPr>
              <w:t>踏勘</w:t>
            </w:r>
            <w:r>
              <w:rPr>
                <w:rFonts w:hint="eastAsia" w:ascii="宋体" w:hAnsi="宋体" w:eastAsia="宋体" w:cs="宋体"/>
                <w:b w:val="0"/>
                <w:bCs w:val="0"/>
                <w:color w:val="000000" w:themeColor="text1"/>
                <w:sz w:val="24"/>
                <w:szCs w:val="24"/>
                <w14:textFill>
                  <w14:solidFill>
                    <w14:schemeClr w14:val="tx1"/>
                  </w14:solidFill>
                </w14:textFill>
              </w:rPr>
              <w:t>及分析对策情况</w:t>
            </w:r>
          </w:p>
        </w:tc>
        <w:tc>
          <w:tcPr>
            <w:tcW w:w="3374" w:type="pct"/>
            <w:gridSpan w:val="2"/>
            <w:tcBorders>
              <w:tl2br w:val="nil"/>
              <w:tr2bl w:val="nil"/>
            </w:tcBorders>
            <w:noWrap w:val="0"/>
            <w:vAlign w:val="center"/>
          </w:tcPr>
          <w:p w14:paraId="479D3801">
            <w:pPr>
              <w:jc w:val="both"/>
              <w:rPr>
                <w:rFonts w:hint="default"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根据投标单位提供的现场踏勘及分析对策情况，分析对策情况合理的得5-3分，分析对策情况基本合理的得3-0分，分析对策情况不合理的不得分。</w:t>
            </w:r>
          </w:p>
        </w:tc>
        <w:tc>
          <w:tcPr>
            <w:tcW w:w="548" w:type="pct"/>
            <w:tcBorders>
              <w:tl2br w:val="nil"/>
              <w:tr2bl w:val="nil"/>
            </w:tcBorders>
            <w:noWrap w:val="0"/>
            <w:vAlign w:val="center"/>
          </w:tcPr>
          <w:p w14:paraId="625B8713">
            <w:pPr>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z w:val="24"/>
                <w:szCs w:val="24"/>
                <w14:textFill>
                  <w14:solidFill>
                    <w14:schemeClr w14:val="tx1"/>
                  </w14:solidFill>
                </w14:textFill>
              </w:rPr>
              <w:t>分</w:t>
            </w:r>
          </w:p>
        </w:tc>
      </w:tr>
      <w:tr w14:paraId="7ADC21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1" w:hRule="atLeast"/>
          <w:tblHeader/>
          <w:jc w:val="center"/>
        </w:trPr>
        <w:tc>
          <w:tcPr>
            <w:tcW w:w="324" w:type="pct"/>
            <w:tcBorders>
              <w:tl2br w:val="nil"/>
              <w:tr2bl w:val="nil"/>
            </w:tcBorders>
            <w:noWrap w:val="0"/>
            <w:vAlign w:val="center"/>
          </w:tcPr>
          <w:p w14:paraId="3B2906F0">
            <w:pPr>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5</w:t>
            </w:r>
          </w:p>
        </w:tc>
        <w:tc>
          <w:tcPr>
            <w:tcW w:w="752" w:type="pct"/>
            <w:tcBorders>
              <w:tl2br w:val="nil"/>
              <w:tr2bl w:val="nil"/>
            </w:tcBorders>
            <w:noWrap w:val="0"/>
            <w:vAlign w:val="center"/>
          </w:tcPr>
          <w:p w14:paraId="707B8179">
            <w:pPr>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施工计划及进度保障措施</w:t>
            </w:r>
          </w:p>
        </w:tc>
        <w:tc>
          <w:tcPr>
            <w:tcW w:w="3374" w:type="pct"/>
            <w:gridSpan w:val="2"/>
            <w:tcBorders>
              <w:tl2br w:val="nil"/>
              <w:tr2bl w:val="nil"/>
            </w:tcBorders>
            <w:noWrap w:val="0"/>
            <w:vAlign w:val="center"/>
          </w:tcPr>
          <w:p w14:paraId="4740427C">
            <w:pPr>
              <w:jc w:val="both"/>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根据投标单位提供的进度计划横道图及进度保障措施，计划及进度保障措施合理的得5-3分，计划及进度保障措施基本合理的得3-0分，计划及进度保障措施不合理的不得分。</w:t>
            </w:r>
          </w:p>
        </w:tc>
        <w:tc>
          <w:tcPr>
            <w:tcW w:w="548" w:type="pct"/>
            <w:tcBorders>
              <w:tl2br w:val="nil"/>
              <w:tr2bl w:val="nil"/>
            </w:tcBorders>
            <w:noWrap w:val="0"/>
            <w:vAlign w:val="center"/>
          </w:tcPr>
          <w:p w14:paraId="3C865538">
            <w:pPr>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z w:val="24"/>
                <w:szCs w:val="24"/>
                <w14:textFill>
                  <w14:solidFill>
                    <w14:schemeClr w14:val="tx1"/>
                  </w14:solidFill>
                </w14:textFill>
              </w:rPr>
              <w:t>分</w:t>
            </w:r>
          </w:p>
        </w:tc>
      </w:tr>
      <w:tr w14:paraId="5EECA9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1" w:hRule="atLeast"/>
          <w:tblHeader/>
          <w:jc w:val="center"/>
        </w:trPr>
        <w:tc>
          <w:tcPr>
            <w:tcW w:w="324" w:type="pct"/>
            <w:tcBorders>
              <w:tl2br w:val="nil"/>
              <w:tr2bl w:val="nil"/>
            </w:tcBorders>
            <w:noWrap w:val="0"/>
            <w:vAlign w:val="center"/>
          </w:tcPr>
          <w:p w14:paraId="0C2A4705">
            <w:pPr>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6</w:t>
            </w:r>
          </w:p>
        </w:tc>
        <w:tc>
          <w:tcPr>
            <w:tcW w:w="752" w:type="pct"/>
            <w:tcBorders>
              <w:tl2br w:val="nil"/>
              <w:tr2bl w:val="nil"/>
            </w:tcBorders>
            <w:noWrap w:val="0"/>
            <w:vAlign w:val="center"/>
          </w:tcPr>
          <w:p w14:paraId="0475AA84">
            <w:pPr>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安全文明施工保障措施方案</w:t>
            </w:r>
          </w:p>
        </w:tc>
        <w:tc>
          <w:tcPr>
            <w:tcW w:w="3374" w:type="pct"/>
            <w:gridSpan w:val="2"/>
            <w:tcBorders>
              <w:tl2br w:val="nil"/>
              <w:tr2bl w:val="nil"/>
            </w:tcBorders>
            <w:noWrap w:val="0"/>
            <w:vAlign w:val="center"/>
          </w:tcPr>
          <w:p w14:paraId="04E52754">
            <w:pPr>
              <w:jc w:val="both"/>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根据投标单位提供的根据投标单位提供的安全文明施工保障措施方案，安全文明施工保障措施方案合理的得5-3分，安全文明施工保障措施方案基本合理的得3-0分，安全文明施工保障措施方案不合理的不得分。</w:t>
            </w:r>
          </w:p>
        </w:tc>
        <w:tc>
          <w:tcPr>
            <w:tcW w:w="548" w:type="pct"/>
            <w:tcBorders>
              <w:tl2br w:val="nil"/>
              <w:tr2bl w:val="nil"/>
            </w:tcBorders>
            <w:noWrap w:val="0"/>
            <w:vAlign w:val="center"/>
          </w:tcPr>
          <w:p w14:paraId="285A7B4F">
            <w:pPr>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z w:val="24"/>
                <w:szCs w:val="24"/>
                <w14:textFill>
                  <w14:solidFill>
                    <w14:schemeClr w14:val="tx1"/>
                  </w14:solidFill>
                </w14:textFill>
              </w:rPr>
              <w:t>分</w:t>
            </w:r>
          </w:p>
        </w:tc>
      </w:tr>
      <w:tr w14:paraId="2A5868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1" w:hRule="atLeast"/>
          <w:tblHeader/>
          <w:jc w:val="center"/>
        </w:trPr>
        <w:tc>
          <w:tcPr>
            <w:tcW w:w="324" w:type="pct"/>
            <w:tcBorders>
              <w:tl2br w:val="nil"/>
              <w:tr2bl w:val="nil"/>
            </w:tcBorders>
            <w:noWrap w:val="0"/>
            <w:vAlign w:val="center"/>
          </w:tcPr>
          <w:p w14:paraId="1A4BA273">
            <w:pPr>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7</w:t>
            </w:r>
          </w:p>
        </w:tc>
        <w:tc>
          <w:tcPr>
            <w:tcW w:w="752" w:type="pct"/>
            <w:tcBorders>
              <w:tl2br w:val="nil"/>
              <w:tr2bl w:val="nil"/>
            </w:tcBorders>
            <w:noWrap w:val="0"/>
            <w:vAlign w:val="center"/>
          </w:tcPr>
          <w:p w14:paraId="760049E0">
            <w:pPr>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施工质量保障措施方案</w:t>
            </w:r>
          </w:p>
        </w:tc>
        <w:tc>
          <w:tcPr>
            <w:tcW w:w="3374" w:type="pct"/>
            <w:gridSpan w:val="2"/>
            <w:tcBorders>
              <w:tl2br w:val="nil"/>
              <w:tr2bl w:val="nil"/>
            </w:tcBorders>
            <w:noWrap w:val="0"/>
            <w:vAlign w:val="center"/>
          </w:tcPr>
          <w:p w14:paraId="077BD869">
            <w:pPr>
              <w:jc w:val="both"/>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根据投标单位提供的施工质量保障措施方案，质量保障措施方案合理的得5-3分，质量保障措施方案基本合理的得3-0分，质量保障措施方案不合理的不得分。</w:t>
            </w:r>
          </w:p>
        </w:tc>
        <w:tc>
          <w:tcPr>
            <w:tcW w:w="548" w:type="pct"/>
            <w:tcBorders>
              <w:tl2br w:val="nil"/>
              <w:tr2bl w:val="nil"/>
            </w:tcBorders>
            <w:noWrap w:val="0"/>
            <w:vAlign w:val="center"/>
          </w:tcPr>
          <w:p w14:paraId="7A9DC33E">
            <w:pPr>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z w:val="24"/>
                <w:szCs w:val="24"/>
                <w14:textFill>
                  <w14:solidFill>
                    <w14:schemeClr w14:val="tx1"/>
                  </w14:solidFill>
                </w14:textFill>
              </w:rPr>
              <w:t>分</w:t>
            </w:r>
          </w:p>
        </w:tc>
      </w:tr>
      <w:tr w14:paraId="6F731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6" w:hRule="atLeast"/>
          <w:tblHeader/>
          <w:jc w:val="center"/>
        </w:trPr>
        <w:tc>
          <w:tcPr>
            <w:tcW w:w="324" w:type="pct"/>
            <w:tcBorders>
              <w:tl2br w:val="nil"/>
              <w:tr2bl w:val="nil"/>
            </w:tcBorders>
            <w:noWrap w:val="0"/>
            <w:vAlign w:val="center"/>
          </w:tcPr>
          <w:p w14:paraId="2CDBC73B">
            <w:pPr>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8</w:t>
            </w:r>
          </w:p>
        </w:tc>
        <w:tc>
          <w:tcPr>
            <w:tcW w:w="752" w:type="pct"/>
            <w:tcBorders>
              <w:tl2br w:val="nil"/>
              <w:tr2bl w:val="nil"/>
            </w:tcBorders>
            <w:noWrap w:val="0"/>
            <w:vAlign w:val="center"/>
          </w:tcPr>
          <w:p w14:paraId="4E52C5EC">
            <w:pPr>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设备安装调试</w:t>
            </w:r>
            <w:r>
              <w:rPr>
                <w:rFonts w:hint="eastAsia" w:ascii="宋体" w:hAnsi="宋体" w:eastAsia="宋体" w:cs="宋体"/>
                <w:b w:val="0"/>
                <w:bCs w:val="0"/>
                <w:color w:val="000000" w:themeColor="text1"/>
                <w:sz w:val="24"/>
                <w:szCs w:val="24"/>
                <w14:textFill>
                  <w14:solidFill>
                    <w14:schemeClr w14:val="tx1"/>
                  </w14:solidFill>
                </w14:textFill>
              </w:rPr>
              <w:t>方案</w:t>
            </w:r>
          </w:p>
        </w:tc>
        <w:tc>
          <w:tcPr>
            <w:tcW w:w="3374" w:type="pct"/>
            <w:gridSpan w:val="2"/>
            <w:tcBorders>
              <w:tl2br w:val="nil"/>
              <w:tr2bl w:val="nil"/>
            </w:tcBorders>
            <w:noWrap w:val="0"/>
            <w:vAlign w:val="center"/>
          </w:tcPr>
          <w:p w14:paraId="3EC9994B">
            <w:pPr>
              <w:jc w:val="both"/>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根据投标单位提供的设备安装及调试方案，调试方案合理的得5-3分，调试方案基本合理的得3-0分，调试方案不合理的不得分。</w:t>
            </w:r>
          </w:p>
        </w:tc>
        <w:tc>
          <w:tcPr>
            <w:tcW w:w="548" w:type="pct"/>
            <w:tcBorders>
              <w:tl2br w:val="nil"/>
              <w:tr2bl w:val="nil"/>
            </w:tcBorders>
            <w:noWrap w:val="0"/>
            <w:vAlign w:val="center"/>
          </w:tcPr>
          <w:p w14:paraId="6DBC405D">
            <w:pPr>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z w:val="24"/>
                <w:szCs w:val="24"/>
                <w14:textFill>
                  <w14:solidFill>
                    <w14:schemeClr w14:val="tx1"/>
                  </w14:solidFill>
                </w14:textFill>
              </w:rPr>
              <w:t>分</w:t>
            </w:r>
          </w:p>
        </w:tc>
      </w:tr>
      <w:tr w14:paraId="086CD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324" w:type="pct"/>
            <w:tcBorders>
              <w:tl2br w:val="nil"/>
              <w:tr2bl w:val="nil"/>
            </w:tcBorders>
            <w:noWrap w:val="0"/>
            <w:vAlign w:val="center"/>
          </w:tcPr>
          <w:p w14:paraId="03989B73">
            <w:pPr>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9</w:t>
            </w:r>
          </w:p>
        </w:tc>
        <w:tc>
          <w:tcPr>
            <w:tcW w:w="752" w:type="pct"/>
            <w:tcBorders>
              <w:tl2br w:val="nil"/>
              <w:tr2bl w:val="nil"/>
            </w:tcBorders>
            <w:noWrap w:val="0"/>
            <w:vAlign w:val="center"/>
          </w:tcPr>
          <w:p w14:paraId="787F40B3">
            <w:pPr>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应急措施方案</w:t>
            </w:r>
          </w:p>
        </w:tc>
        <w:tc>
          <w:tcPr>
            <w:tcW w:w="3374" w:type="pct"/>
            <w:gridSpan w:val="2"/>
            <w:tcBorders>
              <w:tl2br w:val="nil"/>
              <w:tr2bl w:val="nil"/>
            </w:tcBorders>
            <w:noWrap w:val="0"/>
            <w:vAlign w:val="center"/>
          </w:tcPr>
          <w:p w14:paraId="0FB5E1B7">
            <w:pPr>
              <w:jc w:val="both"/>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根据投标单位提供的应急措施方案，应急措施方案合理的得5-3分，应急措施方案基本合理的得3-0分，应急措施方案不合理的不得分。</w:t>
            </w:r>
          </w:p>
        </w:tc>
        <w:tc>
          <w:tcPr>
            <w:tcW w:w="548" w:type="pct"/>
            <w:tcBorders>
              <w:tl2br w:val="nil"/>
              <w:tr2bl w:val="nil"/>
            </w:tcBorders>
            <w:noWrap w:val="0"/>
            <w:vAlign w:val="center"/>
          </w:tcPr>
          <w:p w14:paraId="48FBC05D">
            <w:pPr>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14:textFill>
                  <w14:solidFill>
                    <w14:schemeClr w14:val="tx1"/>
                  </w14:solidFill>
                </w14:textFill>
              </w:rPr>
              <w:t>分</w:t>
            </w:r>
          </w:p>
        </w:tc>
      </w:tr>
      <w:tr w14:paraId="2BB96C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73" w:hRule="atLeast"/>
          <w:tblHeader/>
          <w:jc w:val="center"/>
        </w:trPr>
        <w:tc>
          <w:tcPr>
            <w:tcW w:w="324" w:type="pct"/>
            <w:vMerge w:val="restart"/>
            <w:tcBorders>
              <w:tl2br w:val="nil"/>
              <w:tr2bl w:val="nil"/>
            </w:tcBorders>
            <w:noWrap w:val="0"/>
            <w:vAlign w:val="center"/>
          </w:tcPr>
          <w:p w14:paraId="19F0A6FB">
            <w:pPr>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14</w:t>
            </w:r>
          </w:p>
        </w:tc>
        <w:tc>
          <w:tcPr>
            <w:tcW w:w="752" w:type="pct"/>
            <w:vMerge w:val="restart"/>
            <w:tcBorders>
              <w:tl2br w:val="nil"/>
              <w:tr2bl w:val="nil"/>
            </w:tcBorders>
            <w:noWrap w:val="0"/>
            <w:vAlign w:val="center"/>
          </w:tcPr>
          <w:p w14:paraId="39C26D43">
            <w:pPr>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售后服务</w:t>
            </w:r>
          </w:p>
        </w:tc>
        <w:tc>
          <w:tcPr>
            <w:tcW w:w="3374" w:type="pct"/>
            <w:gridSpan w:val="2"/>
            <w:tcBorders>
              <w:tl2br w:val="nil"/>
              <w:tr2bl w:val="nil"/>
            </w:tcBorders>
            <w:noWrap w:val="0"/>
            <w:vAlign w:val="center"/>
          </w:tcPr>
          <w:p w14:paraId="5DF335BF">
            <w:pPr>
              <w:jc w:val="both"/>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售后服务方案：根据投标投标人的售后服务网点、售后服务响应时间、售后服务保障措施的可行性、合理性；方案合理完美可行的得3-2分，方案基本合理的得2-0分，方案不合理的不得分。</w:t>
            </w:r>
          </w:p>
        </w:tc>
        <w:tc>
          <w:tcPr>
            <w:tcW w:w="548" w:type="pct"/>
            <w:tcBorders>
              <w:tl2br w:val="nil"/>
              <w:tr2bl w:val="nil"/>
            </w:tcBorders>
            <w:noWrap w:val="0"/>
            <w:vAlign w:val="center"/>
          </w:tcPr>
          <w:p w14:paraId="7124FB26">
            <w:pPr>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14:textFill>
                  <w14:solidFill>
                    <w14:schemeClr w14:val="tx1"/>
                  </w14:solidFill>
                </w14:textFill>
              </w:rPr>
              <w:t>分</w:t>
            </w:r>
          </w:p>
        </w:tc>
      </w:tr>
      <w:tr w14:paraId="18419F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324" w:type="pct"/>
            <w:vMerge w:val="continue"/>
            <w:tcBorders>
              <w:tl2br w:val="nil"/>
              <w:tr2bl w:val="nil"/>
            </w:tcBorders>
            <w:noWrap w:val="0"/>
            <w:vAlign w:val="center"/>
          </w:tcPr>
          <w:p w14:paraId="2F16FFC4">
            <w:pPr>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p>
        </w:tc>
        <w:tc>
          <w:tcPr>
            <w:tcW w:w="752" w:type="pct"/>
            <w:vMerge w:val="continue"/>
            <w:tcBorders>
              <w:tl2br w:val="nil"/>
              <w:tr2bl w:val="nil"/>
            </w:tcBorders>
            <w:noWrap w:val="0"/>
            <w:vAlign w:val="center"/>
          </w:tcPr>
          <w:p w14:paraId="7B37F9B3">
            <w:pPr>
              <w:jc w:val="center"/>
              <w:rPr>
                <w:rFonts w:hint="eastAsia" w:ascii="宋体" w:hAnsi="宋体" w:eastAsia="宋体" w:cs="宋体"/>
                <w:b w:val="0"/>
                <w:bCs w:val="0"/>
                <w:color w:val="000000" w:themeColor="text1"/>
                <w:sz w:val="24"/>
                <w:szCs w:val="24"/>
                <w14:textFill>
                  <w14:solidFill>
                    <w14:schemeClr w14:val="tx1"/>
                  </w14:solidFill>
                </w14:textFill>
              </w:rPr>
            </w:pPr>
          </w:p>
        </w:tc>
        <w:tc>
          <w:tcPr>
            <w:tcW w:w="3374" w:type="pct"/>
            <w:gridSpan w:val="2"/>
            <w:tcBorders>
              <w:tl2br w:val="nil"/>
              <w:tr2bl w:val="nil"/>
            </w:tcBorders>
            <w:noWrap w:val="0"/>
            <w:vAlign w:val="center"/>
          </w:tcPr>
          <w:p w14:paraId="1F427190">
            <w:pPr>
              <w:jc w:val="both"/>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培训方案：根据投标投标人提供的培训方案的培训内容、培训计划、培训导师资历等；方案合理完美的得3-2分，方案基本合理的得2-0分，方案不合理的不得分。</w:t>
            </w:r>
          </w:p>
        </w:tc>
        <w:tc>
          <w:tcPr>
            <w:tcW w:w="548" w:type="pct"/>
            <w:tcBorders>
              <w:tl2br w:val="nil"/>
              <w:tr2bl w:val="nil"/>
            </w:tcBorders>
            <w:noWrap w:val="0"/>
            <w:vAlign w:val="center"/>
          </w:tcPr>
          <w:p w14:paraId="773F14F7">
            <w:pPr>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3分</w:t>
            </w:r>
          </w:p>
        </w:tc>
      </w:tr>
      <w:tr w14:paraId="29C05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324" w:type="pct"/>
            <w:vMerge w:val="continue"/>
            <w:tcBorders>
              <w:tl2br w:val="nil"/>
              <w:tr2bl w:val="nil"/>
            </w:tcBorders>
            <w:noWrap w:val="0"/>
            <w:vAlign w:val="center"/>
          </w:tcPr>
          <w:p w14:paraId="5F69E10E">
            <w:pPr>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p>
        </w:tc>
        <w:tc>
          <w:tcPr>
            <w:tcW w:w="752" w:type="pct"/>
            <w:vMerge w:val="continue"/>
            <w:tcBorders>
              <w:tl2br w:val="nil"/>
              <w:tr2bl w:val="nil"/>
            </w:tcBorders>
            <w:noWrap w:val="0"/>
            <w:vAlign w:val="center"/>
          </w:tcPr>
          <w:p w14:paraId="628929C4">
            <w:pPr>
              <w:jc w:val="center"/>
              <w:rPr>
                <w:rFonts w:hint="eastAsia" w:ascii="宋体" w:hAnsi="宋体" w:eastAsia="宋体" w:cs="宋体"/>
                <w:b w:val="0"/>
                <w:bCs w:val="0"/>
                <w:color w:val="000000" w:themeColor="text1"/>
                <w:sz w:val="24"/>
                <w:szCs w:val="24"/>
                <w14:textFill>
                  <w14:solidFill>
                    <w14:schemeClr w14:val="tx1"/>
                  </w14:solidFill>
                </w14:textFill>
              </w:rPr>
            </w:pPr>
          </w:p>
        </w:tc>
        <w:tc>
          <w:tcPr>
            <w:tcW w:w="3374" w:type="pct"/>
            <w:gridSpan w:val="2"/>
            <w:tcBorders>
              <w:tl2br w:val="nil"/>
              <w:tr2bl w:val="nil"/>
            </w:tcBorders>
            <w:noWrap w:val="0"/>
            <w:vAlign w:val="center"/>
          </w:tcPr>
          <w:p w14:paraId="64404430">
            <w:pPr>
              <w:jc w:val="both"/>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质保期在原有的2年质保期基础上，每增加1年得1分，最高得3分。</w:t>
            </w:r>
          </w:p>
        </w:tc>
        <w:tc>
          <w:tcPr>
            <w:tcW w:w="548" w:type="pct"/>
            <w:tcBorders>
              <w:tl2br w:val="nil"/>
              <w:tr2bl w:val="nil"/>
            </w:tcBorders>
            <w:noWrap w:val="0"/>
            <w:vAlign w:val="center"/>
          </w:tcPr>
          <w:p w14:paraId="5D268DD2">
            <w:pPr>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3分</w:t>
            </w:r>
          </w:p>
        </w:tc>
      </w:tr>
    </w:tbl>
    <w:p w14:paraId="59F2BB02">
      <w:pPr>
        <w:spacing w:line="440" w:lineRule="exact"/>
        <w:ind w:firstLine="420"/>
        <w:rPr>
          <w:rFonts w:hint="eastAsia" w:ascii="宋体" w:hAnsi="宋体"/>
          <w:color w:val="auto"/>
          <w:sz w:val="22"/>
          <w:highlight w:val="none"/>
        </w:rPr>
      </w:pPr>
      <w:r>
        <w:rPr>
          <w:rFonts w:hint="eastAsia" w:ascii="宋体" w:hAnsi="宋体"/>
          <w:color w:val="auto"/>
          <w:sz w:val="22"/>
          <w:highlight w:val="none"/>
        </w:rPr>
        <w:t>注 ：1.每个评委根据上述评分内容和分值独立打分，然后将各评委汇总分的算术平均值作为该投标供应商的技术资信标最后有效得分。（计算分值四舍五入，精确到小数点后二位）</w:t>
      </w:r>
    </w:p>
    <w:p w14:paraId="5DA62222">
      <w:pPr>
        <w:widowControl/>
        <w:autoSpaceDE w:val="0"/>
        <w:autoSpaceDN w:val="0"/>
        <w:adjustRightInd w:val="0"/>
        <w:spacing w:line="460" w:lineRule="atLeast"/>
        <w:ind w:firstLine="440" w:firstLineChars="200"/>
        <w:textAlignment w:val="bottom"/>
        <w:rPr>
          <w:rFonts w:hint="eastAsia" w:ascii="宋体" w:hAnsi="宋体"/>
          <w:color w:val="auto"/>
          <w:sz w:val="22"/>
          <w:highlight w:val="none"/>
        </w:rPr>
      </w:pPr>
      <w:r>
        <w:rPr>
          <w:rFonts w:hint="eastAsia" w:ascii="宋体" w:hAnsi="宋体"/>
          <w:color w:val="auto"/>
          <w:sz w:val="22"/>
          <w:highlight w:val="none"/>
        </w:rPr>
        <w:t>三、说明</w:t>
      </w:r>
    </w:p>
    <w:p w14:paraId="38CB82A5">
      <w:pPr>
        <w:widowControl/>
        <w:autoSpaceDE w:val="0"/>
        <w:autoSpaceDN w:val="0"/>
        <w:adjustRightInd w:val="0"/>
        <w:spacing w:line="460" w:lineRule="atLeast"/>
        <w:ind w:firstLine="440" w:firstLineChars="200"/>
        <w:textAlignment w:val="bottom"/>
        <w:rPr>
          <w:rFonts w:hint="eastAsia" w:ascii="宋体" w:hAnsi="宋体"/>
          <w:color w:val="auto"/>
          <w:sz w:val="22"/>
          <w:highlight w:val="none"/>
        </w:rPr>
      </w:pPr>
      <w:r>
        <w:rPr>
          <w:rFonts w:hint="eastAsia" w:ascii="宋体" w:hAnsi="宋体"/>
          <w:color w:val="auto"/>
          <w:sz w:val="22"/>
          <w:highlight w:val="none"/>
        </w:rPr>
        <w:t>1、每个供应商最终得分=技术资信部分分值（所有评标委员会成员打分的算术平均值）＋商务报价部分分值。</w:t>
      </w:r>
    </w:p>
    <w:p w14:paraId="6ED84577">
      <w:pPr>
        <w:widowControl/>
        <w:autoSpaceDE w:val="0"/>
        <w:autoSpaceDN w:val="0"/>
        <w:adjustRightInd w:val="0"/>
        <w:spacing w:line="460" w:lineRule="atLeast"/>
        <w:ind w:firstLine="440" w:firstLineChars="200"/>
        <w:textAlignment w:val="bottom"/>
        <w:rPr>
          <w:rFonts w:hint="eastAsia" w:ascii="宋体" w:hAnsi="宋体"/>
          <w:color w:val="auto"/>
          <w:sz w:val="22"/>
          <w:highlight w:val="none"/>
        </w:rPr>
      </w:pPr>
      <w:r>
        <w:rPr>
          <w:rFonts w:hint="eastAsia" w:ascii="宋体" w:hAnsi="宋体"/>
          <w:color w:val="auto"/>
          <w:sz w:val="22"/>
          <w:highlight w:val="none"/>
        </w:rPr>
        <w:t>2、评标委员会推荐得分最高的供应商为预中标供应商（如果得分相同则按报价从低到高顺序依次推荐为预中标单位）；如果得分相同，报价也相同，以抽签决定，并编写评标报告。</w:t>
      </w:r>
    </w:p>
    <w:p w14:paraId="3FFBBCAB">
      <w:pPr>
        <w:widowControl/>
        <w:autoSpaceDE w:val="0"/>
        <w:autoSpaceDN w:val="0"/>
        <w:adjustRightInd w:val="0"/>
        <w:spacing w:line="460" w:lineRule="atLeast"/>
        <w:ind w:firstLine="440" w:firstLineChars="200"/>
        <w:textAlignment w:val="bottom"/>
        <w:rPr>
          <w:rFonts w:hint="eastAsia" w:ascii="宋体" w:hAnsi="宋体"/>
          <w:color w:val="auto"/>
          <w:sz w:val="22"/>
          <w:highlight w:val="none"/>
        </w:rPr>
      </w:pPr>
      <w:r>
        <w:rPr>
          <w:rFonts w:hint="eastAsia" w:ascii="宋体" w:hAnsi="宋体"/>
          <w:color w:val="auto"/>
          <w:sz w:val="22"/>
          <w:highlight w:val="none"/>
        </w:rPr>
        <w:t>3、所有分值计算保留小数点后二位，小数点后三位四舍五入。</w:t>
      </w:r>
    </w:p>
    <w:p w14:paraId="70C91AF4">
      <w:pPr>
        <w:widowControl/>
        <w:autoSpaceDE w:val="0"/>
        <w:autoSpaceDN w:val="0"/>
        <w:adjustRightInd w:val="0"/>
        <w:spacing w:line="460" w:lineRule="atLeast"/>
        <w:ind w:firstLine="440" w:firstLineChars="200"/>
        <w:textAlignment w:val="bottom"/>
        <w:rPr>
          <w:rFonts w:hint="eastAsia" w:ascii="宋体" w:hAnsi="宋体"/>
          <w:color w:val="auto"/>
          <w:sz w:val="22"/>
          <w:highlight w:val="none"/>
        </w:rPr>
        <w:sectPr>
          <w:headerReference r:id="rId17" w:type="default"/>
          <w:footerReference r:id="rId18" w:type="default"/>
          <w:pgSz w:w="11906" w:h="16838"/>
          <w:pgMar w:top="720" w:right="1526" w:bottom="720" w:left="720" w:header="851" w:footer="992" w:gutter="0"/>
          <w:cols w:space="720" w:num="1"/>
          <w:docGrid w:type="lines" w:linePitch="312" w:charSpace="0"/>
        </w:sectPr>
      </w:pPr>
      <w:r>
        <w:rPr>
          <w:rFonts w:hint="eastAsia" w:ascii="宋体" w:hAnsi="宋体"/>
          <w:color w:val="auto"/>
          <w:sz w:val="22"/>
          <w:highlight w:val="none"/>
        </w:rPr>
        <w:t>参见本招标文件第三部分：“供应商须知” 中的相关内容，未尽事宜按有关法律规定处理。</w:t>
      </w:r>
    </w:p>
    <w:p w14:paraId="6B14BFE0">
      <w:pPr>
        <w:spacing w:line="360" w:lineRule="auto"/>
        <w:jc w:val="center"/>
        <w:rPr>
          <w:rFonts w:hint="eastAsia" w:ascii="宋体" w:hAnsi="宋体"/>
          <w:b/>
          <w:bCs/>
          <w:color w:val="auto"/>
          <w:spacing w:val="-30"/>
          <w:sz w:val="24"/>
          <w:szCs w:val="24"/>
          <w:highlight w:val="none"/>
        </w:rPr>
      </w:pPr>
    </w:p>
    <w:p w14:paraId="78B7A2CA">
      <w:pPr>
        <w:spacing w:line="360" w:lineRule="auto"/>
        <w:jc w:val="center"/>
        <w:rPr>
          <w:rFonts w:hint="eastAsia" w:ascii="宋体" w:hAnsi="宋体"/>
          <w:b/>
          <w:bCs/>
          <w:color w:val="auto"/>
          <w:spacing w:val="-30"/>
          <w:sz w:val="24"/>
          <w:szCs w:val="24"/>
          <w:highlight w:val="none"/>
        </w:rPr>
      </w:pPr>
    </w:p>
    <w:p w14:paraId="5A717F33">
      <w:pPr>
        <w:spacing w:line="360" w:lineRule="auto"/>
        <w:jc w:val="center"/>
        <w:rPr>
          <w:rFonts w:ascii="宋体" w:hAnsi="宋体"/>
          <w:b/>
          <w:bCs/>
          <w:color w:val="auto"/>
          <w:spacing w:val="-30"/>
          <w:sz w:val="24"/>
          <w:szCs w:val="24"/>
          <w:highlight w:val="none"/>
        </w:rPr>
      </w:pPr>
      <w:r>
        <w:rPr>
          <w:rFonts w:hint="eastAsia" w:ascii="宋体" w:hAnsi="宋体"/>
          <w:b/>
          <w:bCs/>
          <w:color w:val="auto"/>
          <w:spacing w:val="-30"/>
          <w:sz w:val="24"/>
          <w:szCs w:val="24"/>
          <w:highlight w:val="none"/>
        </w:rPr>
        <w:t>投 标 书 封 条</w:t>
      </w:r>
    </w:p>
    <w:p w14:paraId="7B49B9B9">
      <w:pPr>
        <w:spacing w:line="360" w:lineRule="auto"/>
        <w:jc w:val="center"/>
        <w:rPr>
          <w:rFonts w:ascii="宋体" w:hAnsi="宋体"/>
          <w:b/>
          <w:bCs/>
          <w:color w:val="auto"/>
          <w:spacing w:val="-30"/>
          <w:sz w:val="24"/>
          <w:szCs w:val="24"/>
          <w:highlight w:val="none"/>
        </w:rPr>
      </w:pPr>
      <w:r>
        <w:rPr>
          <w:rFonts w:hint="eastAsia" w:ascii="宋体" w:hAnsi="宋体"/>
          <w:color w:val="auto"/>
          <w:sz w:val="24"/>
          <w:szCs w:val="24"/>
          <w:highlight w:val="none"/>
        </w:rPr>
        <w:t>（注：投标人在密封标书时将下列封条沿线剪下，不够可复印）</w:t>
      </w:r>
    </w:p>
    <w:p w14:paraId="6DE656EE">
      <w:pPr>
        <w:rPr>
          <w:rFonts w:ascii="宋体" w:hAnsi="宋体"/>
          <w:color w:val="auto"/>
          <w:sz w:val="24"/>
          <w:szCs w:val="24"/>
          <w:highlight w:val="none"/>
        </w:rPr>
      </w:pPr>
    </w:p>
    <w:tbl>
      <w:tblPr>
        <w:tblStyle w:val="38"/>
        <w:tblW w:w="9286"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86"/>
      </w:tblGrid>
      <w:tr w14:paraId="630202E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trPr>
        <w:tc>
          <w:tcPr>
            <w:tcW w:w="9286" w:type="dxa"/>
          </w:tcPr>
          <w:p w14:paraId="2BFA3B20">
            <w:pPr>
              <w:rPr>
                <w:rFonts w:hint="eastAsia" w:ascii="宋体" w:hAnsi="宋体" w:eastAsia="宋体"/>
                <w:color w:val="auto"/>
                <w:spacing w:val="-30"/>
                <w:sz w:val="24"/>
                <w:szCs w:val="24"/>
                <w:highlight w:val="none"/>
              </w:rPr>
            </w:pPr>
          </w:p>
        </w:tc>
      </w:tr>
    </w:tbl>
    <w:p w14:paraId="6FA27429">
      <w:pPr>
        <w:spacing w:line="600" w:lineRule="exact"/>
        <w:jc w:val="center"/>
        <w:rPr>
          <w:rFonts w:hint="eastAsia" w:asciiTheme="minorEastAsia" w:hAnsiTheme="minorEastAsia" w:eastAsiaTheme="minorEastAsia" w:cstheme="minorEastAsia"/>
          <w:b/>
          <w:bCs/>
          <w:spacing w:val="-30"/>
          <w:sz w:val="44"/>
          <w:szCs w:val="44"/>
          <w:lang w:eastAsia="zh-CN"/>
        </w:rPr>
      </w:pPr>
      <w:r>
        <w:rPr>
          <w:rFonts w:hint="eastAsia" w:asciiTheme="minorEastAsia" w:hAnsiTheme="minorEastAsia" w:eastAsiaTheme="minorEastAsia" w:cstheme="minorEastAsia"/>
          <w:b/>
          <w:bCs/>
          <w:spacing w:val="-30"/>
          <w:sz w:val="44"/>
          <w:szCs w:val="44"/>
          <w:lang w:eastAsia="zh-CN"/>
        </w:rPr>
        <w:t>龟湖镇水厂备用水源工程设备采购投标文件密封袋封条</w:t>
      </w:r>
    </w:p>
    <w:p w14:paraId="07E3A9F8">
      <w:pPr>
        <w:pStyle w:val="27"/>
        <w:spacing w:line="500" w:lineRule="exact"/>
        <w:ind w:firstLine="258"/>
        <w:jc w:val="center"/>
        <w:rPr>
          <w:rFonts w:hAnsi="宋体"/>
          <w:color w:val="auto"/>
          <w:spacing w:val="-30"/>
          <w:sz w:val="24"/>
          <w:szCs w:val="24"/>
          <w:highlight w:val="none"/>
          <w:shd w:val="pct10" w:color="auto" w:fill="FFFFFF"/>
        </w:rPr>
      </w:pPr>
      <w:r>
        <w:rPr>
          <w:rFonts w:hint="eastAsia" w:hAnsi="宋体"/>
          <w:color w:val="auto"/>
          <w:spacing w:val="-30"/>
          <w:sz w:val="24"/>
          <w:szCs w:val="24"/>
          <w:highlight w:val="none"/>
          <w:shd w:val="pct10" w:color="auto" w:fill="FFFFFF"/>
        </w:rPr>
        <w:t>加 盖 投 标 单 位 公章 及法定代表人或 其 法 定 代 表 人 委 托 代 理 人 签 字 或 盖 章</w:t>
      </w:r>
    </w:p>
    <w:tbl>
      <w:tblPr>
        <w:tblStyle w:val="38"/>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40"/>
      </w:tblGrid>
      <w:tr w14:paraId="0FAE4EA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9440" w:type="dxa"/>
          </w:tcPr>
          <w:p w14:paraId="38903B81">
            <w:pPr>
              <w:jc w:val="center"/>
              <w:rPr>
                <w:rFonts w:hint="eastAsia" w:ascii="宋体" w:hAnsi="宋体" w:eastAsia="宋体"/>
                <w:color w:val="auto"/>
                <w:spacing w:val="-30"/>
                <w:sz w:val="24"/>
                <w:szCs w:val="24"/>
                <w:highlight w:val="none"/>
              </w:rPr>
            </w:pPr>
          </w:p>
        </w:tc>
      </w:tr>
    </w:tbl>
    <w:p w14:paraId="25A07377">
      <w:pPr>
        <w:rPr>
          <w:rFonts w:ascii="宋体" w:hAnsi="宋体"/>
          <w:color w:val="auto"/>
          <w:sz w:val="24"/>
          <w:szCs w:val="24"/>
          <w:highlight w:val="none"/>
        </w:rPr>
      </w:pPr>
    </w:p>
    <w:p w14:paraId="70435129">
      <w:pPr>
        <w:pStyle w:val="27"/>
      </w:pPr>
    </w:p>
    <w:p w14:paraId="1DAE6E2F">
      <w:pPr>
        <w:rPr>
          <w:rFonts w:ascii="宋体" w:hAnsi="宋体"/>
          <w:color w:val="auto"/>
          <w:sz w:val="24"/>
          <w:szCs w:val="24"/>
          <w:highlight w:val="none"/>
        </w:rPr>
      </w:pPr>
    </w:p>
    <w:p w14:paraId="3DFBBC52">
      <w:pPr>
        <w:pStyle w:val="14"/>
        <w:rPr>
          <w:rFonts w:ascii="宋体" w:hAnsi="宋体"/>
          <w:color w:val="auto"/>
          <w:sz w:val="24"/>
          <w:szCs w:val="24"/>
          <w:highlight w:val="none"/>
        </w:rPr>
      </w:pPr>
    </w:p>
    <w:p w14:paraId="17AB8716">
      <w:pPr>
        <w:pStyle w:val="15"/>
        <w:rPr>
          <w:rFonts w:ascii="宋体" w:hAnsi="宋体"/>
          <w:color w:val="auto"/>
          <w:sz w:val="24"/>
          <w:szCs w:val="24"/>
          <w:highlight w:val="none"/>
        </w:rPr>
      </w:pPr>
    </w:p>
    <w:p w14:paraId="78E483AF"/>
    <w:tbl>
      <w:tblPr>
        <w:tblStyle w:val="38"/>
        <w:tblW w:w="9286"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86"/>
      </w:tblGrid>
      <w:tr w14:paraId="4059F4E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trPr>
        <w:tc>
          <w:tcPr>
            <w:tcW w:w="9286" w:type="dxa"/>
          </w:tcPr>
          <w:p w14:paraId="0C94D7A1">
            <w:pPr>
              <w:rPr>
                <w:rFonts w:hint="eastAsia" w:ascii="宋体" w:hAnsi="宋体" w:eastAsia="宋体"/>
                <w:color w:val="auto"/>
                <w:spacing w:val="-30"/>
                <w:sz w:val="24"/>
                <w:szCs w:val="24"/>
                <w:highlight w:val="none"/>
              </w:rPr>
            </w:pPr>
          </w:p>
        </w:tc>
      </w:tr>
    </w:tbl>
    <w:p w14:paraId="25B235F2">
      <w:pPr>
        <w:spacing w:line="600" w:lineRule="exact"/>
        <w:jc w:val="center"/>
        <w:rPr>
          <w:rFonts w:hint="eastAsia" w:asciiTheme="minorEastAsia" w:hAnsiTheme="minorEastAsia" w:eastAsiaTheme="minorEastAsia" w:cstheme="minorEastAsia"/>
          <w:sz w:val="44"/>
          <w:szCs w:val="44"/>
          <w:lang w:eastAsia="zh-CN"/>
        </w:rPr>
      </w:pPr>
      <w:r>
        <w:rPr>
          <w:rFonts w:hint="eastAsia" w:asciiTheme="minorEastAsia" w:hAnsiTheme="minorEastAsia" w:eastAsiaTheme="minorEastAsia" w:cstheme="minorEastAsia"/>
          <w:b/>
          <w:bCs/>
          <w:spacing w:val="-30"/>
          <w:sz w:val="44"/>
          <w:szCs w:val="44"/>
          <w:lang w:eastAsia="zh-CN"/>
        </w:rPr>
        <w:t>龟湖镇水厂备用水源工程设备采购投标文件密封袋封条</w:t>
      </w:r>
    </w:p>
    <w:p w14:paraId="715F4B70">
      <w:pPr>
        <w:pStyle w:val="27"/>
        <w:spacing w:line="500" w:lineRule="exact"/>
        <w:ind w:firstLine="383"/>
        <w:jc w:val="center"/>
        <w:rPr>
          <w:rFonts w:hint="eastAsia" w:asciiTheme="minorEastAsia" w:hAnsiTheme="minorEastAsia" w:eastAsiaTheme="minorEastAsia" w:cstheme="minorEastAsia"/>
          <w:color w:val="auto"/>
          <w:spacing w:val="-30"/>
          <w:sz w:val="24"/>
          <w:szCs w:val="24"/>
          <w:highlight w:val="none"/>
          <w:shd w:val="pct10" w:color="auto" w:fill="FFFFFF"/>
        </w:rPr>
      </w:pPr>
      <w:r>
        <w:rPr>
          <w:rFonts w:hint="eastAsia" w:asciiTheme="minorEastAsia" w:hAnsiTheme="minorEastAsia" w:eastAsiaTheme="minorEastAsia" w:cstheme="minorEastAsia"/>
          <w:color w:val="auto"/>
          <w:spacing w:val="-30"/>
          <w:sz w:val="24"/>
          <w:szCs w:val="24"/>
          <w:highlight w:val="none"/>
          <w:shd w:val="pct10" w:color="auto" w:fill="FFFFFF"/>
        </w:rPr>
        <w:t>加 盖 投 标 单 位 公 章 及 法 定 代 表 人 或 其 法 定 代 表 人 委 托 代 理 人 签 字 或 盖 章</w:t>
      </w:r>
    </w:p>
    <w:tbl>
      <w:tblPr>
        <w:tblStyle w:val="38"/>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40"/>
      </w:tblGrid>
      <w:tr w14:paraId="10657DB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9440" w:type="dxa"/>
          </w:tcPr>
          <w:p w14:paraId="43C3D267">
            <w:pPr>
              <w:jc w:val="center"/>
              <w:rPr>
                <w:rFonts w:hint="eastAsia" w:ascii="宋体" w:hAnsi="宋体" w:eastAsia="宋体"/>
                <w:color w:val="auto"/>
                <w:spacing w:val="-30"/>
                <w:sz w:val="24"/>
                <w:szCs w:val="24"/>
                <w:highlight w:val="none"/>
              </w:rPr>
            </w:pPr>
          </w:p>
        </w:tc>
      </w:tr>
    </w:tbl>
    <w:p w14:paraId="690D017D">
      <w:pPr>
        <w:pStyle w:val="8"/>
        <w:ind w:firstLine="0" w:firstLineChars="0"/>
        <w:rPr>
          <w:rFonts w:ascii="宋体" w:eastAsia="宋体"/>
          <w:color w:val="auto"/>
          <w:sz w:val="24"/>
          <w:szCs w:val="24"/>
          <w:highlight w:val="none"/>
          <w:lang w:val="en-US" w:eastAsia="zh-CN"/>
        </w:rPr>
      </w:pPr>
    </w:p>
    <w:sectPr>
      <w:pgSz w:w="11906" w:h="16838"/>
      <w:pgMar w:top="720" w:right="1526"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Times New Roman"/>
    <w:panose1 w:val="00000000000000000000"/>
    <w:charset w:val="00"/>
    <w:family w:val="auto"/>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23C66">
    <w:pPr>
      <w:pStyle w:val="2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DA08A">
    <w:pPr>
      <w:pStyle w:val="2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40BB9">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71450" cy="131445"/>
              <wp:effectExtent l="0" t="0" r="0" b="0"/>
              <wp:wrapNone/>
              <wp:docPr id="1" name="文本框 7"/>
              <wp:cNvGraphicFramePr/>
              <a:graphic xmlns:a="http://schemas.openxmlformats.org/drawingml/2006/main">
                <a:graphicData uri="http://schemas.microsoft.com/office/word/2010/wordprocessingShape">
                  <wps:wsp>
                    <wps:cNvSpPr/>
                    <wps:spPr>
                      <a:xfrm>
                        <a:off x="0" y="0"/>
                        <a:ext cx="171450" cy="131559"/>
                      </a:xfrm>
                      <a:prstGeom prst="rect">
                        <a:avLst/>
                      </a:prstGeom>
                      <a:noFill/>
                      <a:ln w="9525" cap="flat" cmpd="sng">
                        <a:noFill/>
                        <a:prstDash val="solid"/>
                        <a:round/>
                      </a:ln>
                    </wps:spPr>
                    <wps:txbx>
                      <w:txbxContent>
                        <w:p w14:paraId="46876B39">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140</w:t>
                          </w:r>
                          <w:r>
                            <w:rPr>
                              <w:rFonts w:ascii="Times New Roman" w:hAnsi="Times New Roman" w:eastAsia="宋体" w:cs="Times New Roman"/>
                              <w:kern w:val="2"/>
                              <w:sz w:val="18"/>
                              <w:szCs w:val="18"/>
                              <w:lang w:val="en-US" w:eastAsia="zh-CN" w:bidi="ar-SA"/>
                            </w:rPr>
                            <w:fldChar w:fldCharType="end"/>
                          </w:r>
                        </w:p>
                      </w:txbxContent>
                    </wps:txbx>
                    <wps:bodyPr vert="horz" wrap="none" lIns="0" tIns="0" rIns="0" bIns="0" anchor="t" anchorCtr="0" upright="1">
                      <a:spAutoFit/>
                    </wps:bodyPr>
                  </wps:wsp>
                </a:graphicData>
              </a:graphic>
            </wp:anchor>
          </w:drawing>
        </mc:Choice>
        <mc:Fallback>
          <w:pict>
            <v:rect id="文本框 7" o:spid="_x0000_s1026" o:spt="1" style="position:absolute;left:0pt;margin-top:0pt;height:10.35pt;width:13.5pt;mso-position-horizontal:center;mso-position-horizontal-relative:margin;mso-wrap-style:none;z-index:251659264;mso-width-relative:page;mso-height-relative:page;" filled="f" stroked="f" coordsize="21600,21600" o:gfxdata="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i1PAA0AAAAAMBAAAPAAAAAAAAAAEAIAAAACIAAABkcnMvZG93bnJldi54&#10;bWxQSwECFAAUAAAACACHTuJAwnV0UQICAAD0AwAADgAAAAAAAAABACAAAAAfAQAAZHJzL2Uyb0Rv&#10;Yy54bWxQSwUGAAAAAAYABgBZAQAAkwUAAAAA&#10;">
              <v:fill on="f" focussize="0,0"/>
              <v:stroke on="f" joinstyle="round"/>
              <v:imagedata o:title=""/>
              <o:lock v:ext="edit" aspectratio="f"/>
              <v:textbox inset="0mm,0mm,0mm,0mm" style="mso-fit-shape-to-text:t;">
                <w:txbxContent>
                  <w:p w14:paraId="46876B39">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140</w:t>
                    </w:r>
                    <w:r>
                      <w:rPr>
                        <w:rFonts w:ascii="Times New Roman" w:hAnsi="Times New Roman" w:eastAsia="宋体" w:cs="Times New Roman"/>
                        <w:kern w:val="2"/>
                        <w:sz w:val="18"/>
                        <w:szCs w:val="18"/>
                        <w:lang w:val="en-US" w:eastAsia="zh-CN" w:bidi="ar-SA"/>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E64F9">
    <w:pPr>
      <w:pStyle w:val="25"/>
      <w:jc w:val="both"/>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31" name="文本框 3"/>
              <wp:cNvGraphicFramePr/>
              <a:graphic xmlns:a="http://schemas.openxmlformats.org/drawingml/2006/main">
                <a:graphicData uri="http://schemas.microsoft.com/office/word/2010/wordprocessingShape">
                  <wps:wsp>
                    <wps:cNvSpPr/>
                    <wps:spPr>
                      <a:xfrm>
                        <a:off x="0" y="0"/>
                        <a:ext cx="116204" cy="139700"/>
                      </a:xfrm>
                      <a:prstGeom prst="rect">
                        <a:avLst/>
                      </a:prstGeom>
                      <a:noFill/>
                      <a:ln w="9525" cap="flat" cmpd="sng">
                        <a:noFill/>
                        <a:prstDash val="solid"/>
                        <a:round/>
                      </a:ln>
                    </wps:spPr>
                    <wps:txbx>
                      <w:txbxContent>
                        <w:p w14:paraId="176E24B0">
                          <w:pPr>
                            <w:pStyle w:val="25"/>
                            <w:rPr>
                              <w:rFonts w:eastAsia="宋体"/>
                              <w:lang w:val="en-US" w:eastAsia="zh-CN"/>
                            </w:rPr>
                          </w:pPr>
                          <w:r>
                            <w:rPr>
                              <w:rFonts w:hint="eastAsia"/>
                              <w:lang w:val="en-US" w:eastAsia="zh-CN"/>
                            </w:rPr>
                            <w:t>89</w:t>
                          </w: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F0Op/RAAAAAwEAAA8AAAAAAAAAAQAgAAAAIgAAAGRycy9kb3du&#10;cmV2LnhtbFBLAQIUABQAAAAIAIdO4kCmqJ3OBgIAAPUDAAAOAAAAAAAAAAEAIAAAACABAABkcnMv&#10;ZTJvRG9jLnhtbFBLBQYAAAAABgAGAFkBAACYBQAAAAA=&#10;">
              <v:fill on="f" focussize="0,0"/>
              <v:stroke on="f" joinstyle="round"/>
              <v:imagedata o:title=""/>
              <o:lock v:ext="edit" aspectratio="f"/>
              <v:textbox inset="0mm,0mm,0mm,0mm" style="mso-fit-shape-to-text:t;">
                <w:txbxContent>
                  <w:p w14:paraId="176E24B0">
                    <w:pPr>
                      <w:pStyle w:val="25"/>
                      <w:rPr>
                        <w:rFonts w:eastAsia="宋体"/>
                        <w:lang w:val="en-US" w:eastAsia="zh-CN"/>
                      </w:rPr>
                    </w:pPr>
                    <w:r>
                      <w:rPr>
                        <w:rFonts w:hint="eastAsia"/>
                        <w:lang w:val="en-US" w:eastAsia="zh-CN"/>
                      </w:rPr>
                      <w:t>89</w:t>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1EDD3">
    <w:pPr>
      <w:pStyle w:val="25"/>
      <w:jc w:val="both"/>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34" name="文本框 13"/>
              <wp:cNvGraphicFramePr/>
              <a:graphic xmlns:a="http://schemas.openxmlformats.org/drawingml/2006/main">
                <a:graphicData uri="http://schemas.microsoft.com/office/word/2010/wordprocessingShape">
                  <wps:wsp>
                    <wps:cNvSpPr/>
                    <wps:spPr>
                      <a:xfrm>
                        <a:off x="0" y="0"/>
                        <a:ext cx="115900" cy="139560"/>
                      </a:xfrm>
                      <a:prstGeom prst="rect">
                        <a:avLst/>
                      </a:prstGeom>
                      <a:noFill/>
                      <a:ln w="6350" cap="flat" cmpd="sng">
                        <a:noFill/>
                        <a:prstDash val="solid"/>
                        <a:round/>
                      </a:ln>
                    </wps:spPr>
                    <wps:txbx>
                      <w:txbxContent>
                        <w:p w14:paraId="4A9E502D">
                          <w:pPr>
                            <w:pStyle w:val="25"/>
                          </w:pPr>
                          <w:r>
                            <w:fldChar w:fldCharType="begin"/>
                          </w:r>
                          <w:r>
                            <w:instrText xml:space="preserve"> PAGE  \* MERGEFORMAT </w:instrText>
                          </w:r>
                          <w:r>
                            <w:fldChar w:fldCharType="separate"/>
                          </w:r>
                          <w:r>
                            <w:t>90</w:t>
                          </w:r>
                          <w:r>
                            <w:fldChar w:fldCharType="end"/>
                          </w:r>
                        </w:p>
                      </w:txbxContent>
                    </wps:txbx>
                    <wps:bodyPr vert="horz" wrap="none" lIns="0" tIns="0" rIns="0" bIns="0" anchor="t" anchorCtr="0" upright="0">
                      <a:spAutoFit/>
                    </wps:bodyPr>
                  </wps:wsp>
                </a:graphicData>
              </a:graphic>
            </wp:anchor>
          </w:drawing>
        </mc:Choice>
        <mc:Fallback>
          <w:pict>
            <v:rect id="文本框 13" o:spid="_x0000_s1026" o:spt="1"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TlUH61gAAAAMBAAAPAAAAAAAAAAEAIAAAACIAAABkcnMv&#10;ZG93bnJldi54bWxQSwECFAAUAAAACACHTuJA747UIgUCAAD2AwAADgAAAAAAAAABACAAAAAlAQAA&#10;ZHJzL2Uyb0RvYy54bWxQSwUGAAAAAAYABgBZAQAAnAUAAAAA&#10;">
              <v:fill on="f" focussize="0,0"/>
              <v:stroke on="f" weight="0.5pt" joinstyle="round"/>
              <v:imagedata o:title=""/>
              <o:lock v:ext="edit" aspectratio="f"/>
              <v:textbox inset="0mm,0mm,0mm,0mm" style="mso-fit-shape-to-text:t;">
                <w:txbxContent>
                  <w:p w14:paraId="4A9E502D">
                    <w:pPr>
                      <w:pStyle w:val="25"/>
                    </w:pPr>
                    <w:r>
                      <w:fldChar w:fldCharType="begin"/>
                    </w:r>
                    <w:r>
                      <w:instrText xml:space="preserve"> PAGE  \* MERGEFORMAT </w:instrText>
                    </w:r>
                    <w:r>
                      <w:fldChar w:fldCharType="separate"/>
                    </w:r>
                    <w:r>
                      <w:t>90</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3806C">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4893B">
    <w:pPr>
      <w:pStyle w:val="25"/>
      <w:jc w:val="cente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73990" cy="139700"/>
              <wp:effectExtent l="0" t="0" r="0" b="0"/>
              <wp:wrapNone/>
              <wp:docPr id="37" name="文本框 14"/>
              <wp:cNvGraphicFramePr/>
              <a:graphic xmlns:a="http://schemas.openxmlformats.org/drawingml/2006/main">
                <a:graphicData uri="http://schemas.microsoft.com/office/word/2010/wordprocessingShape">
                  <wps:wsp>
                    <wps:cNvSpPr/>
                    <wps:spPr>
                      <a:xfrm>
                        <a:off x="0" y="0"/>
                        <a:ext cx="173850" cy="139560"/>
                      </a:xfrm>
                      <a:prstGeom prst="rect">
                        <a:avLst/>
                      </a:prstGeom>
                      <a:noFill/>
                      <a:ln w="6350" cap="flat" cmpd="sng">
                        <a:noFill/>
                        <a:prstDash val="solid"/>
                        <a:round/>
                      </a:ln>
                    </wps:spPr>
                    <wps:txbx>
                      <w:txbxContent>
                        <w:p w14:paraId="57543B1D">
                          <w:pPr>
                            <w:pStyle w:val="25"/>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rect id="文本框 14" o:spid="_x0000_s1026" o:spt="1" style="position:absolute;left:0pt;margin-top:0pt;height:11pt;width:13.7pt;mso-position-horizontal:center;mso-position-horizontal-relative:margin;mso-wrap-style:none;z-index:251659264;mso-width-relative:page;mso-height-relative:page;" filled="f" stroked="f" coordsize="21600,21600" o:gfxdata="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qM6hNYAAAADAQAADwAAAAAAAAABACAAAAAiAAAAZHJz&#10;L2Rvd25yZXYueG1sUEsBAhQAFAAAAAgAh07iQNqqxfkGAgAA9gMAAA4AAAAAAAAAAQAgAAAAJQEA&#10;AGRycy9lMm9Eb2MueG1sUEsFBgAAAAAGAAYAWQEAAJ0FAAAAAA==&#10;">
              <v:fill on="f" focussize="0,0"/>
              <v:stroke on="f" weight="0.5pt" joinstyle="round"/>
              <v:imagedata o:title=""/>
              <o:lock v:ext="edit" aspectratio="f"/>
              <v:textbox inset="0mm,0mm,0mm,0mm" style="mso-fit-shape-to-text:t;">
                <w:txbxContent>
                  <w:p w14:paraId="57543B1D">
                    <w:pPr>
                      <w:pStyle w:val="25"/>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AF40B">
    <w:pPr>
      <w:pStyle w:val="25"/>
      <w:jc w:val="cente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73990" cy="139700"/>
              <wp:effectExtent l="0" t="0" r="0" b="0"/>
              <wp:wrapNone/>
              <wp:docPr id="43" name="文本框 16"/>
              <wp:cNvGraphicFramePr/>
              <a:graphic xmlns:a="http://schemas.openxmlformats.org/drawingml/2006/main">
                <a:graphicData uri="http://schemas.microsoft.com/office/word/2010/wordprocessingShape">
                  <wps:wsp>
                    <wps:cNvSpPr/>
                    <wps:spPr>
                      <a:xfrm>
                        <a:off x="0" y="0"/>
                        <a:ext cx="173850" cy="139560"/>
                      </a:xfrm>
                      <a:prstGeom prst="rect">
                        <a:avLst/>
                      </a:prstGeom>
                      <a:noFill/>
                      <a:ln w="6350" cap="flat" cmpd="sng">
                        <a:noFill/>
                        <a:prstDash val="solid"/>
                        <a:round/>
                      </a:ln>
                    </wps:spPr>
                    <wps:txbx>
                      <w:txbxContent>
                        <w:p w14:paraId="36B09651">
                          <w:pPr>
                            <w:pStyle w:val="25"/>
                          </w:pPr>
                          <w:r>
                            <w:fldChar w:fldCharType="begin"/>
                          </w:r>
                          <w:r>
                            <w:instrText xml:space="preserve"> PAGE  \* MERGEFORMAT </w:instrText>
                          </w:r>
                          <w:r>
                            <w:fldChar w:fldCharType="separate"/>
                          </w:r>
                          <w:r>
                            <w:t>21</w:t>
                          </w:r>
                          <w:r>
                            <w:fldChar w:fldCharType="end"/>
                          </w:r>
                        </w:p>
                      </w:txbxContent>
                    </wps:txbx>
                    <wps:bodyPr vert="horz" wrap="none" lIns="0" tIns="0" rIns="0" bIns="0" anchor="t" anchorCtr="0" upright="0">
                      <a:spAutoFit/>
                    </wps:bodyPr>
                  </wps:wsp>
                </a:graphicData>
              </a:graphic>
            </wp:anchor>
          </w:drawing>
        </mc:Choice>
        <mc:Fallback>
          <w:pict>
            <v:rect id="文本框 16" o:spid="_x0000_s1026" o:spt="1" style="position:absolute;left:0pt;margin-top:0pt;height:11pt;width:13.7pt;mso-position-horizontal:center;mso-position-horizontal-relative:margin;mso-wrap-style:none;z-index:251659264;mso-width-relative:page;mso-height-relative:page;" filled="f" stroked="f" coordsize="21600,21600" o:gfxdata="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CozqE1gAAAAMBAAAPAAAAAAAAAAEAIAAAACIAAABkcnMv&#10;ZG93bnJldi54bWxQSwECFAAUAAAACACHTuJA43A1twUCAAD2AwAADgAAAAAAAAABACAAAAAlAQAA&#10;ZHJzL2Uyb0RvYy54bWxQSwUGAAAAAAYABgBZAQAAnAUAAAAA&#10;">
              <v:fill on="f" focussize="0,0"/>
              <v:stroke on="f" weight="0.5pt" joinstyle="round"/>
              <v:imagedata o:title=""/>
              <o:lock v:ext="edit" aspectratio="f"/>
              <v:textbox inset="0mm,0mm,0mm,0mm" style="mso-fit-shape-to-text:t;">
                <w:txbxContent>
                  <w:p w14:paraId="36B09651">
                    <w:pPr>
                      <w:pStyle w:val="25"/>
                    </w:pPr>
                    <w:r>
                      <w:fldChar w:fldCharType="begin"/>
                    </w:r>
                    <w:r>
                      <w:instrText xml:space="preserve"> PAGE  \* MERGEFORMAT </w:instrText>
                    </w:r>
                    <w:r>
                      <w:fldChar w:fldCharType="separate"/>
                    </w:r>
                    <w:r>
                      <w:t>21</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FF2B1">
    <w:pPr>
      <w:pStyle w:val="25"/>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73990" cy="139700"/>
              <wp:effectExtent l="0" t="0" r="0" b="0"/>
              <wp:wrapNone/>
              <wp:docPr id="46" name="文本框 17"/>
              <wp:cNvGraphicFramePr/>
              <a:graphic xmlns:a="http://schemas.openxmlformats.org/drawingml/2006/main">
                <a:graphicData uri="http://schemas.microsoft.com/office/word/2010/wordprocessingShape">
                  <wps:wsp>
                    <wps:cNvSpPr/>
                    <wps:spPr>
                      <a:xfrm>
                        <a:off x="0" y="0"/>
                        <a:ext cx="173850" cy="139560"/>
                      </a:xfrm>
                      <a:prstGeom prst="rect">
                        <a:avLst/>
                      </a:prstGeom>
                      <a:noFill/>
                      <a:ln w="6350" cap="flat" cmpd="sng">
                        <a:noFill/>
                        <a:prstDash val="solid"/>
                        <a:round/>
                      </a:ln>
                    </wps:spPr>
                    <wps:txbx>
                      <w:txbxContent>
                        <w:p w14:paraId="38C02C04">
                          <w:pPr>
                            <w:pStyle w:val="25"/>
                          </w:pPr>
                          <w:r>
                            <w:fldChar w:fldCharType="begin"/>
                          </w:r>
                          <w:r>
                            <w:instrText xml:space="preserve"> PAGE  \* MERGEFORMAT </w:instrText>
                          </w:r>
                          <w:r>
                            <w:fldChar w:fldCharType="separate"/>
                          </w:r>
                          <w:r>
                            <w:t>24</w:t>
                          </w:r>
                          <w:r>
                            <w:fldChar w:fldCharType="end"/>
                          </w:r>
                        </w:p>
                      </w:txbxContent>
                    </wps:txbx>
                    <wps:bodyPr vert="horz" wrap="none" lIns="0" tIns="0" rIns="0" bIns="0" anchor="t" anchorCtr="0" upright="0">
                      <a:spAutoFit/>
                    </wps:bodyPr>
                  </wps:wsp>
                </a:graphicData>
              </a:graphic>
            </wp:anchor>
          </w:drawing>
        </mc:Choice>
        <mc:Fallback>
          <w:pict>
            <v:rect id="文本框 17" o:spid="_x0000_s1026" o:spt="1" style="position:absolute;left:0pt;margin-top:0pt;height:11pt;width:13.7pt;mso-position-horizontal:center;mso-position-horizontal-relative:margin;mso-wrap-style:none;z-index:251659264;mso-width-relative:page;mso-height-relative:page;" filled="f" stroked="f" coordsize="21600,21600" o:gfxdata="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qM6hNYAAAADAQAADwAAAAAAAAABACAAAAAiAAAAZHJz&#10;L2Rvd25yZXYueG1sUEsBAhQAFAAAAAgAh07iQBELypoGAgAA9gMAAA4AAAAAAAAAAQAgAAAAJQEA&#10;AGRycy9lMm9Eb2MueG1sUEsFBgAAAAAGAAYAWQEAAJ0FAAAAAA==&#10;">
              <v:fill on="f" focussize="0,0"/>
              <v:stroke on="f" weight="0.5pt" joinstyle="round"/>
              <v:imagedata o:title=""/>
              <o:lock v:ext="edit" aspectratio="f"/>
              <v:textbox inset="0mm,0mm,0mm,0mm" style="mso-fit-shape-to-text:t;">
                <w:txbxContent>
                  <w:p w14:paraId="38C02C04">
                    <w:pPr>
                      <w:pStyle w:val="25"/>
                    </w:pPr>
                    <w:r>
                      <w:fldChar w:fldCharType="begin"/>
                    </w:r>
                    <w:r>
                      <w:instrText xml:space="preserve"> PAGE  \* MERGEFORMAT </w:instrText>
                    </w:r>
                    <w:r>
                      <w:fldChar w:fldCharType="separate"/>
                    </w:r>
                    <w:r>
                      <w:t>24</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C0889">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F8303">
    <w:pPr>
      <w:pStyle w:val="2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3C25A">
    <w:pPr>
      <w:pStyle w:val="2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763E5">
    <w:pPr>
      <w:widowControl w:val="0"/>
      <w:pBdr>
        <w:top w:val="none" w:color="auto" w:sz="0" w:space="0"/>
        <w:left w:val="none" w:color="auto" w:sz="0" w:space="0"/>
        <w:bottom w:val="none" w:color="auto" w:sz="0" w:space="0"/>
        <w:right w:val="none" w:color="auto" w:sz="0" w:space="0"/>
      </w:pBdr>
      <w:tabs>
        <w:tab w:val="center" w:pos="4153"/>
        <w:tab w:val="right" w:pos="8306"/>
      </w:tabs>
      <w:snapToGrid w:val="0"/>
      <w:jc w:val="both"/>
      <w:rPr>
        <w:rFonts w:ascii="Times New Roman" w:hAnsi="Times New Roman" w:eastAsia="宋体" w:cs="Times New Roman"/>
        <w:kern w:val="2"/>
        <w:sz w:val="18"/>
        <w:szCs w:val="24"/>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946B3">
    <w:pPr>
      <w:pStyle w:val="26"/>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21679">
    <w:pPr>
      <w:pStyle w:val="26"/>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A4C1D">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374CF"/>
    <w:multiLevelType w:val="singleLevel"/>
    <w:tmpl w:val="DDC374CF"/>
    <w:lvl w:ilvl="0" w:tentative="0">
      <w:start w:val="1"/>
      <w:numFmt w:val="decimal"/>
      <w:lvlText w:val="%1."/>
      <w:lvlJc w:val="left"/>
      <w:pPr>
        <w:ind w:left="425" w:hanging="425"/>
      </w:pPr>
      <w:rPr>
        <w:rFonts w:hint="default"/>
      </w:rPr>
    </w:lvl>
  </w:abstractNum>
  <w:abstractNum w:abstractNumId="1">
    <w:nsid w:val="00000002"/>
    <w:multiLevelType w:val="singleLevel"/>
    <w:tmpl w:val="00000002"/>
    <w:lvl w:ilvl="0" w:tentative="0">
      <w:start w:val="1"/>
      <w:numFmt w:val="decimal"/>
      <w:suff w:val="space"/>
      <w:lvlText w:val="%1."/>
      <w:lvlJc w:val="left"/>
      <w:pPr>
        <w:ind w:left="0" w:firstLine="0"/>
      </w:pPr>
    </w:lvl>
  </w:abstractNum>
  <w:abstractNum w:abstractNumId="2">
    <w:nsid w:val="00000016"/>
    <w:multiLevelType w:val="singleLevel"/>
    <w:tmpl w:val="00000016"/>
    <w:lvl w:ilvl="0" w:tentative="0">
      <w:start w:val="1"/>
      <w:numFmt w:val="decimal"/>
      <w:suff w:val="nothing"/>
      <w:lvlText w:val="（%1）"/>
      <w:lvlJc w:val="left"/>
      <w:pPr>
        <w:ind w:left="0" w:firstLine="0"/>
      </w:pPr>
    </w:lvl>
  </w:abstractNum>
  <w:abstractNum w:abstractNumId="3">
    <w:nsid w:val="227CC843"/>
    <w:multiLevelType w:val="singleLevel"/>
    <w:tmpl w:val="227CC843"/>
    <w:lvl w:ilvl="0" w:tentative="0">
      <w:start w:val="2"/>
      <w:numFmt w:val="decimal"/>
      <w:suff w:val="nothing"/>
      <w:lvlText w:val="%1、"/>
      <w:lvlJc w:val="left"/>
      <w:pPr>
        <w:ind w:left="0" w:firstLine="0"/>
      </w:pPr>
    </w:lvl>
  </w:abstractNum>
  <w:abstractNum w:abstractNumId="4">
    <w:nsid w:val="599289EC"/>
    <w:multiLevelType w:val="singleLevel"/>
    <w:tmpl w:val="599289EC"/>
    <w:lvl w:ilvl="0" w:tentative="0">
      <w:start w:val="1"/>
      <w:numFmt w:val="decimal"/>
      <w:lvlText w:val="%1."/>
      <w:lvlJc w:val="left"/>
      <w:pPr>
        <w:ind w:left="425" w:hanging="425"/>
      </w:pPr>
      <w:rPr>
        <w:rFonts w:hint="default"/>
      </w:rPr>
    </w:lvl>
  </w:abstractNum>
  <w:abstractNum w:abstractNumId="5">
    <w:nsid w:val="61BD0F6F"/>
    <w:multiLevelType w:val="singleLevel"/>
    <w:tmpl w:val="61BD0F6F"/>
    <w:lvl w:ilvl="0" w:tentative="0">
      <w:start w:val="1"/>
      <w:numFmt w:val="decimal"/>
      <w:suff w:val="nothing"/>
      <w:lvlText w:val="（%1）"/>
      <w:lvlJc w:val="left"/>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
  <w:docVars>
    <w:docVar w:name="commondata" w:val="eyJoZGlkIjoiOWI1MzAyZWFhMGNhNGFhNmQ4NmU5MGIxZTVmZmE1ODYifQ=="/>
  </w:docVars>
  <w:rsids>
    <w:rsidRoot w:val="00000000"/>
    <w:rsid w:val="008D5118"/>
    <w:rsid w:val="0102503D"/>
    <w:rsid w:val="06C853B3"/>
    <w:rsid w:val="06E94F7B"/>
    <w:rsid w:val="09A432A2"/>
    <w:rsid w:val="09E95BCC"/>
    <w:rsid w:val="11843A47"/>
    <w:rsid w:val="127001C5"/>
    <w:rsid w:val="16AC3DF4"/>
    <w:rsid w:val="18FB1EFD"/>
    <w:rsid w:val="1AA402E2"/>
    <w:rsid w:val="1B6C418F"/>
    <w:rsid w:val="1DFD13C9"/>
    <w:rsid w:val="1E9F255E"/>
    <w:rsid w:val="202F7912"/>
    <w:rsid w:val="24E24F53"/>
    <w:rsid w:val="26C7736C"/>
    <w:rsid w:val="26FB56C4"/>
    <w:rsid w:val="2714160F"/>
    <w:rsid w:val="28D87C7A"/>
    <w:rsid w:val="31724332"/>
    <w:rsid w:val="37861CDF"/>
    <w:rsid w:val="3B2217D9"/>
    <w:rsid w:val="3FC00392"/>
    <w:rsid w:val="423B7123"/>
    <w:rsid w:val="451A5BEB"/>
    <w:rsid w:val="471A34AF"/>
    <w:rsid w:val="47FE35A2"/>
    <w:rsid w:val="4A963F66"/>
    <w:rsid w:val="4B3230DA"/>
    <w:rsid w:val="4D3902B5"/>
    <w:rsid w:val="4DA71F9A"/>
    <w:rsid w:val="4E30761C"/>
    <w:rsid w:val="4EC041BF"/>
    <w:rsid w:val="4EF26041"/>
    <w:rsid w:val="51706F5E"/>
    <w:rsid w:val="54E12429"/>
    <w:rsid w:val="55B300C2"/>
    <w:rsid w:val="592F5CB1"/>
    <w:rsid w:val="59301A29"/>
    <w:rsid w:val="5AAD1584"/>
    <w:rsid w:val="5AEA7F89"/>
    <w:rsid w:val="5B0373F5"/>
    <w:rsid w:val="5C1F0AC3"/>
    <w:rsid w:val="5C700ABB"/>
    <w:rsid w:val="5E497394"/>
    <w:rsid w:val="5E99597B"/>
    <w:rsid w:val="65521F0A"/>
    <w:rsid w:val="683C5B65"/>
    <w:rsid w:val="6BB303C0"/>
    <w:rsid w:val="6F9D4AB4"/>
    <w:rsid w:val="74FD11AC"/>
    <w:rsid w:val="76A53BC8"/>
    <w:rsid w:val="7734348A"/>
    <w:rsid w:val="7A5A6EEB"/>
    <w:rsid w:val="7B744F39"/>
    <w:rsid w:val="7E024676"/>
    <w:rsid w:val="7E246E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widowControl w:val="0"/>
      <w:spacing w:line="720" w:lineRule="auto"/>
      <w:outlineLvl w:val="0"/>
    </w:pPr>
    <w:rPr>
      <w:b/>
      <w:bCs/>
      <w:kern w:val="44"/>
      <w:sz w:val="44"/>
      <w:szCs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Cambria" w:hAnsi="Cambria"/>
      <w:b/>
      <w:bCs/>
      <w:sz w:val="32"/>
      <w:szCs w:val="32"/>
    </w:rPr>
  </w:style>
  <w:style w:type="paragraph" w:styleId="4">
    <w:name w:val="heading 3"/>
    <w:basedOn w:val="1"/>
    <w:next w:val="5"/>
    <w:autoRedefine/>
    <w:qFormat/>
    <w:uiPriority w:val="0"/>
    <w:pPr>
      <w:spacing w:before="100" w:beforeAutospacing="1" w:after="100" w:afterAutospacing="1"/>
      <w:jc w:val="left"/>
      <w:outlineLvl w:val="2"/>
    </w:pPr>
    <w:rPr>
      <w:b/>
      <w:bCs/>
      <w:kern w:val="0"/>
      <w:sz w:val="32"/>
      <w:szCs w:val="32"/>
    </w:rPr>
  </w:style>
  <w:style w:type="paragraph" w:styleId="5">
    <w:name w:val="heading 4"/>
    <w:basedOn w:val="1"/>
    <w:next w:val="1"/>
    <w:autoRedefine/>
    <w:qFormat/>
    <w:uiPriority w:val="0"/>
    <w:pPr>
      <w:keepNext/>
      <w:keepLines/>
      <w:widowControl w:val="0"/>
      <w:spacing w:before="200" w:after="200" w:line="360" w:lineRule="auto"/>
      <w:jc w:val="center"/>
      <w:outlineLvl w:val="3"/>
    </w:pPr>
    <w:rPr>
      <w:rFonts w:ascii="Cambria" w:hAnsi="Cambria" w:eastAsia="宋体" w:cs="Times New Roman"/>
      <w:b/>
      <w:bCs/>
      <w:kern w:val="2"/>
      <w:sz w:val="28"/>
      <w:szCs w:val="28"/>
      <w:lang w:val="en-US" w:eastAsia="zh-CN" w:bidi="ar-SA"/>
    </w:rPr>
  </w:style>
  <w:style w:type="paragraph" w:styleId="6">
    <w:name w:val="heading 7"/>
    <w:basedOn w:val="1"/>
    <w:next w:val="1"/>
    <w:autoRedefine/>
    <w:qFormat/>
    <w:uiPriority w:val="0"/>
    <w:pPr>
      <w:keepNext/>
      <w:keepLines/>
      <w:widowControl w:val="0"/>
      <w:adjustRightInd w:val="0"/>
      <w:spacing w:before="240" w:after="64" w:line="320" w:lineRule="atLeast"/>
      <w:textAlignment w:val="baseline"/>
      <w:outlineLvl w:val="6"/>
    </w:pPr>
    <w:rPr>
      <w:rFonts w:ascii="宋体" w:hAnsi="Arial" w:cs="Times New Roman"/>
      <w:b/>
      <w:kern w:val="0"/>
      <w:sz w:val="24"/>
      <w:szCs w:val="20"/>
    </w:rPr>
  </w:style>
  <w:style w:type="character" w:default="1" w:styleId="40">
    <w:name w:val="Default Paragraph Font"/>
    <w:autoRedefine/>
    <w:qFormat/>
    <w:uiPriority w:val="0"/>
  </w:style>
  <w:style w:type="table" w:default="1" w:styleId="38">
    <w:name w:val="Normal Table"/>
    <w:semiHidden/>
    <w:qFormat/>
    <w:uiPriority w:val="0"/>
    <w:tblPr>
      <w:tblCellMar>
        <w:top w:w="0" w:type="dxa"/>
        <w:left w:w="108" w:type="dxa"/>
        <w:bottom w:w="0" w:type="dxa"/>
        <w:right w:w="108" w:type="dxa"/>
      </w:tblCellMar>
    </w:tblPr>
  </w:style>
  <w:style w:type="paragraph" w:styleId="7">
    <w:name w:val="toc 7"/>
    <w:basedOn w:val="1"/>
    <w:next w:val="1"/>
    <w:autoRedefine/>
    <w:qFormat/>
    <w:uiPriority w:val="0"/>
    <w:pPr>
      <w:ind w:left="100" w:leftChars="100" w:firstLine="200" w:firstLineChars="200"/>
      <w:jc w:val="left"/>
    </w:pPr>
    <w:rPr>
      <w:sz w:val="20"/>
      <w:szCs w:val="20"/>
    </w:rPr>
  </w:style>
  <w:style w:type="paragraph" w:styleId="8">
    <w:name w:val="Normal Indent"/>
    <w:basedOn w:val="1"/>
    <w:next w:val="9"/>
    <w:autoRedefine/>
    <w:qFormat/>
    <w:uiPriority w:val="0"/>
    <w:pPr>
      <w:ind w:firstLine="200" w:firstLineChars="200"/>
    </w:pPr>
    <w:rPr>
      <w:rFonts w:ascii="仿宋_GB2312" w:hAnsi="宋体" w:eastAsia="仿宋_GB2312" w:cs="宋体"/>
      <w:color w:val="000000"/>
      <w:szCs w:val="21"/>
    </w:rPr>
  </w:style>
  <w:style w:type="paragraph" w:styleId="9">
    <w:name w:val="Body Text Indent"/>
    <w:basedOn w:val="1"/>
    <w:next w:val="10"/>
    <w:autoRedefine/>
    <w:qFormat/>
    <w:uiPriority w:val="0"/>
    <w:pPr>
      <w:ind w:left="200" w:leftChars="200"/>
    </w:pPr>
    <w:rPr>
      <w:kern w:val="0"/>
      <w:sz w:val="20"/>
      <w:szCs w:val="20"/>
    </w:rPr>
  </w:style>
  <w:style w:type="paragraph" w:styleId="10">
    <w:name w:val="Body Text First Indent 2"/>
    <w:basedOn w:val="9"/>
    <w:next w:val="1"/>
    <w:autoRedefine/>
    <w:qFormat/>
    <w:uiPriority w:val="0"/>
    <w:pPr>
      <w:spacing w:after="120"/>
      <w:ind w:firstLine="420"/>
    </w:pPr>
    <w:rPr>
      <w:rFonts w:cs="宋体"/>
      <w:sz w:val="21"/>
      <w:szCs w:val="21"/>
    </w:rPr>
  </w:style>
  <w:style w:type="paragraph" w:styleId="11">
    <w:name w:val="Document Map"/>
    <w:basedOn w:val="1"/>
    <w:autoRedefine/>
    <w:qFormat/>
    <w:uiPriority w:val="0"/>
    <w:pPr>
      <w:ind w:left="100" w:leftChars="100" w:firstLine="200" w:firstLineChars="200"/>
    </w:pPr>
    <w:rPr>
      <w:rFonts w:ascii="宋体"/>
      <w:sz w:val="24"/>
      <w:szCs w:val="24"/>
    </w:rPr>
  </w:style>
  <w:style w:type="paragraph" w:styleId="12">
    <w:name w:val="toa heading"/>
    <w:basedOn w:val="1"/>
    <w:next w:val="1"/>
    <w:autoRedefine/>
    <w:qFormat/>
    <w:uiPriority w:val="0"/>
    <w:rPr>
      <w:rFonts w:ascii="Arial" w:hAnsi="Arial" w:cs="Arial"/>
      <w:sz w:val="24"/>
    </w:rPr>
  </w:style>
  <w:style w:type="paragraph" w:styleId="13">
    <w:name w:val="annotation text"/>
    <w:basedOn w:val="1"/>
    <w:autoRedefine/>
    <w:qFormat/>
    <w:uiPriority w:val="0"/>
    <w:pPr>
      <w:jc w:val="left"/>
    </w:pPr>
  </w:style>
  <w:style w:type="paragraph" w:styleId="14">
    <w:name w:val="Body Text"/>
    <w:basedOn w:val="1"/>
    <w:next w:val="15"/>
    <w:autoRedefine/>
    <w:qFormat/>
    <w:uiPriority w:val="0"/>
    <w:pPr>
      <w:spacing w:after="120"/>
    </w:pPr>
  </w:style>
  <w:style w:type="paragraph" w:styleId="15">
    <w:name w:val="Body Text First Indent"/>
    <w:basedOn w:val="14"/>
    <w:next w:val="16"/>
    <w:autoRedefine/>
    <w:qFormat/>
    <w:uiPriority w:val="0"/>
    <w:pPr>
      <w:spacing w:line="312" w:lineRule="auto"/>
      <w:ind w:firstLine="420"/>
    </w:pPr>
  </w:style>
  <w:style w:type="paragraph" w:styleId="16">
    <w:name w:val="toc 6"/>
    <w:basedOn w:val="1"/>
    <w:next w:val="1"/>
    <w:autoRedefine/>
    <w:qFormat/>
    <w:uiPriority w:val="0"/>
    <w:pPr>
      <w:ind w:left="100" w:leftChars="100" w:firstLine="200" w:firstLineChars="200"/>
      <w:jc w:val="left"/>
    </w:pPr>
    <w:rPr>
      <w:sz w:val="20"/>
      <w:szCs w:val="20"/>
    </w:rPr>
  </w:style>
  <w:style w:type="paragraph" w:styleId="17">
    <w:name w:val="toc 5"/>
    <w:basedOn w:val="1"/>
    <w:next w:val="1"/>
    <w:autoRedefine/>
    <w:qFormat/>
    <w:uiPriority w:val="0"/>
    <w:pPr>
      <w:ind w:left="100" w:leftChars="100" w:firstLine="200" w:firstLineChars="200"/>
      <w:jc w:val="left"/>
    </w:pPr>
    <w:rPr>
      <w:sz w:val="20"/>
      <w:szCs w:val="20"/>
    </w:rPr>
  </w:style>
  <w:style w:type="paragraph" w:styleId="18">
    <w:name w:val="toc 3"/>
    <w:basedOn w:val="1"/>
    <w:next w:val="1"/>
    <w:autoRedefine/>
    <w:qFormat/>
    <w:uiPriority w:val="0"/>
    <w:pPr>
      <w:tabs>
        <w:tab w:val="right" w:leader="middleDot" w:pos="6688"/>
      </w:tabs>
      <w:ind w:left="100" w:leftChars="100"/>
      <w:jc w:val="left"/>
    </w:pPr>
    <w:rPr>
      <w:sz w:val="18"/>
    </w:rPr>
  </w:style>
  <w:style w:type="paragraph" w:styleId="19">
    <w:name w:val="Plain Text"/>
    <w:basedOn w:val="1"/>
    <w:next w:val="1"/>
    <w:autoRedefine/>
    <w:qFormat/>
    <w:uiPriority w:val="0"/>
    <w:rPr>
      <w:rFonts w:ascii="宋体" w:hAnsi="Courier New"/>
      <w:kern w:val="0"/>
      <w:sz w:val="20"/>
      <w:szCs w:val="21"/>
    </w:rPr>
  </w:style>
  <w:style w:type="paragraph" w:styleId="20">
    <w:name w:val="toc 8"/>
    <w:basedOn w:val="1"/>
    <w:next w:val="1"/>
    <w:autoRedefine/>
    <w:qFormat/>
    <w:uiPriority w:val="0"/>
    <w:pPr>
      <w:ind w:left="100" w:leftChars="100" w:firstLine="200" w:firstLineChars="200"/>
      <w:jc w:val="left"/>
    </w:pPr>
    <w:rPr>
      <w:sz w:val="20"/>
      <w:szCs w:val="20"/>
    </w:rPr>
  </w:style>
  <w:style w:type="paragraph" w:styleId="21">
    <w:name w:val="Date"/>
    <w:basedOn w:val="1"/>
    <w:next w:val="1"/>
    <w:autoRedefine/>
    <w:qFormat/>
    <w:uiPriority w:val="0"/>
    <w:pPr>
      <w:ind w:left="2500" w:leftChars="2500"/>
    </w:pPr>
    <w:rPr>
      <w:rFonts w:eastAsia="楷体_GB2312"/>
      <w:kern w:val="0"/>
      <w:sz w:val="32"/>
      <w:szCs w:val="20"/>
    </w:rPr>
  </w:style>
  <w:style w:type="paragraph" w:styleId="22">
    <w:name w:val="Body Text Indent 2"/>
    <w:basedOn w:val="1"/>
    <w:autoRedefine/>
    <w:qFormat/>
    <w:uiPriority w:val="0"/>
    <w:pPr>
      <w:widowControl/>
      <w:spacing w:line="480" w:lineRule="atLeast"/>
      <w:ind w:firstLine="480"/>
    </w:pPr>
    <w:rPr>
      <w:kern w:val="0"/>
      <w:sz w:val="20"/>
      <w:szCs w:val="20"/>
    </w:rPr>
  </w:style>
  <w:style w:type="paragraph" w:styleId="23">
    <w:name w:val="endnote text"/>
    <w:basedOn w:val="1"/>
    <w:autoRedefine/>
    <w:qFormat/>
    <w:uiPriority w:val="0"/>
    <w:pPr>
      <w:snapToGrid w:val="0"/>
      <w:ind w:left="100" w:leftChars="100" w:firstLine="200" w:firstLineChars="200"/>
      <w:jc w:val="left"/>
    </w:pPr>
  </w:style>
  <w:style w:type="paragraph" w:styleId="24">
    <w:name w:val="Balloon Text"/>
    <w:basedOn w:val="1"/>
    <w:autoRedefine/>
    <w:qFormat/>
    <w:uiPriority w:val="0"/>
    <w:rPr>
      <w:sz w:val="18"/>
      <w:szCs w:val="18"/>
    </w:rPr>
  </w:style>
  <w:style w:type="paragraph" w:styleId="25">
    <w:name w:val="footer"/>
    <w:basedOn w:val="1"/>
    <w:autoRedefine/>
    <w:qFormat/>
    <w:uiPriority w:val="0"/>
    <w:pPr>
      <w:tabs>
        <w:tab w:val="center" w:pos="4153"/>
        <w:tab w:val="right" w:pos="8306"/>
      </w:tabs>
      <w:snapToGrid w:val="0"/>
      <w:jc w:val="left"/>
    </w:pPr>
    <w:rPr>
      <w:kern w:val="0"/>
      <w:sz w:val="18"/>
      <w:szCs w:val="18"/>
    </w:rPr>
  </w:style>
  <w:style w:type="paragraph" w:styleId="26">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27">
    <w:name w:val="toc 1"/>
    <w:basedOn w:val="28"/>
    <w:next w:val="1"/>
    <w:autoRedefine/>
    <w:qFormat/>
    <w:uiPriority w:val="0"/>
    <w:pPr>
      <w:spacing w:line="360" w:lineRule="atLeast"/>
    </w:pPr>
    <w:rPr>
      <w:rFonts w:ascii="宋体"/>
      <w:bCs/>
      <w:sz w:val="22"/>
    </w:rPr>
  </w:style>
  <w:style w:type="paragraph" w:styleId="28">
    <w:name w:val="index 1"/>
    <w:basedOn w:val="1"/>
    <w:next w:val="1"/>
    <w:autoRedefine/>
    <w:qFormat/>
    <w:uiPriority w:val="0"/>
    <w:pPr>
      <w:spacing w:line="320" w:lineRule="exact"/>
    </w:pPr>
    <w:rPr>
      <w:rFonts w:ascii="Times New Roman" w:hAnsi="Times New Roman" w:cs="Times New Roman"/>
      <w:b/>
      <w:snapToGrid w:val="0"/>
      <w:color w:val="FF6600"/>
      <w:kern w:val="0"/>
      <w:sz w:val="18"/>
      <w:szCs w:val="21"/>
    </w:rPr>
  </w:style>
  <w:style w:type="paragraph" w:styleId="29">
    <w:name w:val="toc 4"/>
    <w:basedOn w:val="1"/>
    <w:next w:val="1"/>
    <w:autoRedefine/>
    <w:qFormat/>
    <w:uiPriority w:val="0"/>
    <w:pPr>
      <w:tabs>
        <w:tab w:val="left" w:leader="middleDot" w:pos="7560"/>
      </w:tabs>
      <w:ind w:left="100" w:leftChars="100" w:firstLine="200" w:firstLineChars="200"/>
      <w:jc w:val="left"/>
    </w:pPr>
    <w:rPr>
      <w:sz w:val="20"/>
      <w:szCs w:val="20"/>
    </w:rPr>
  </w:style>
  <w:style w:type="paragraph" w:styleId="30">
    <w:name w:val="Subtitle"/>
    <w:next w:val="1"/>
    <w:autoRedefine/>
    <w:qFormat/>
    <w:uiPriority w:val="0"/>
    <w:pPr>
      <w:spacing w:before="240" w:after="60" w:line="312" w:lineRule="auto"/>
      <w:jc w:val="center"/>
      <w:outlineLvl w:val="1"/>
    </w:pPr>
    <w:rPr>
      <w:rFonts w:ascii="Cambria" w:hAnsi="Cambria" w:eastAsia="宋体" w:cs="Times New Roman"/>
      <w:b/>
      <w:bCs/>
      <w:kern w:val="28"/>
      <w:sz w:val="32"/>
      <w:szCs w:val="32"/>
      <w:lang w:val="en-US" w:eastAsia="zh-CN" w:bidi="ar-SA"/>
    </w:rPr>
  </w:style>
  <w:style w:type="paragraph" w:styleId="31">
    <w:name w:val="footnote text"/>
    <w:basedOn w:val="1"/>
    <w:autoRedefine/>
    <w:qFormat/>
    <w:uiPriority w:val="0"/>
    <w:pPr>
      <w:snapToGrid w:val="0"/>
      <w:ind w:left="100" w:leftChars="100" w:firstLine="200" w:firstLineChars="200"/>
      <w:jc w:val="left"/>
    </w:pPr>
    <w:rPr>
      <w:sz w:val="18"/>
      <w:szCs w:val="18"/>
    </w:rPr>
  </w:style>
  <w:style w:type="paragraph" w:styleId="32">
    <w:name w:val="Body Text Indent 3"/>
    <w:basedOn w:val="1"/>
    <w:autoRedefine/>
    <w:qFormat/>
    <w:uiPriority w:val="0"/>
    <w:pPr>
      <w:spacing w:after="120"/>
      <w:ind w:left="200" w:leftChars="200"/>
    </w:pPr>
    <w:rPr>
      <w:sz w:val="16"/>
      <w:szCs w:val="16"/>
    </w:rPr>
  </w:style>
  <w:style w:type="paragraph" w:styleId="33">
    <w:name w:val="toc 2"/>
    <w:basedOn w:val="1"/>
    <w:next w:val="1"/>
    <w:autoRedefine/>
    <w:qFormat/>
    <w:uiPriority w:val="0"/>
    <w:pPr>
      <w:ind w:left="100" w:leftChars="100"/>
    </w:pPr>
    <w:rPr>
      <w:bCs/>
      <w:sz w:val="18"/>
    </w:rPr>
  </w:style>
  <w:style w:type="paragraph" w:styleId="34">
    <w:name w:val="toc 9"/>
    <w:basedOn w:val="1"/>
    <w:next w:val="1"/>
    <w:autoRedefine/>
    <w:qFormat/>
    <w:uiPriority w:val="0"/>
    <w:pPr>
      <w:ind w:left="100" w:leftChars="100" w:firstLine="200" w:firstLineChars="200"/>
      <w:jc w:val="left"/>
    </w:pPr>
    <w:rPr>
      <w:sz w:val="20"/>
      <w:szCs w:val="20"/>
    </w:rPr>
  </w:style>
  <w:style w:type="paragraph" w:styleId="35">
    <w:name w:val="Normal (Web)"/>
    <w:basedOn w:val="1"/>
    <w:autoRedefine/>
    <w:qFormat/>
    <w:uiPriority w:val="0"/>
    <w:pPr>
      <w:widowControl/>
      <w:spacing w:after="50" w:afterLines="50"/>
      <w:jc w:val="left"/>
    </w:pPr>
    <w:rPr>
      <w:rFonts w:ascii="Times New Roman" w:hAnsi="Times New Roman"/>
      <w:sz w:val="24"/>
      <w:szCs w:val="24"/>
    </w:rPr>
  </w:style>
  <w:style w:type="paragraph" w:styleId="36">
    <w:name w:val="Title"/>
    <w:basedOn w:val="1"/>
    <w:next w:val="1"/>
    <w:autoRedefine/>
    <w:qFormat/>
    <w:uiPriority w:val="0"/>
    <w:pPr>
      <w:jc w:val="center"/>
      <w:outlineLvl w:val="0"/>
    </w:pPr>
    <w:rPr>
      <w:rFonts w:ascii="Cambria" w:hAnsi="Cambria"/>
      <w:b/>
      <w:bCs/>
      <w:kern w:val="0"/>
      <w:sz w:val="32"/>
      <w:szCs w:val="32"/>
    </w:rPr>
  </w:style>
  <w:style w:type="paragraph" w:styleId="37">
    <w:name w:val="annotation subject"/>
    <w:basedOn w:val="13"/>
    <w:next w:val="13"/>
    <w:autoRedefine/>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autoRedefine/>
    <w:qFormat/>
    <w:uiPriority w:val="0"/>
  </w:style>
  <w:style w:type="character" w:styleId="42">
    <w:name w:val="endnote reference"/>
    <w:autoRedefine/>
    <w:qFormat/>
    <w:uiPriority w:val="0"/>
    <w:rPr>
      <w:vertAlign w:val="superscript"/>
    </w:rPr>
  </w:style>
  <w:style w:type="character" w:styleId="43">
    <w:name w:val="page number"/>
    <w:autoRedefine/>
    <w:qFormat/>
    <w:uiPriority w:val="0"/>
    <w:rPr>
      <w:rFonts w:cs="Times New Roman"/>
    </w:rPr>
  </w:style>
  <w:style w:type="character" w:styleId="44">
    <w:name w:val="FollowedHyperlink"/>
    <w:autoRedefine/>
    <w:qFormat/>
    <w:uiPriority w:val="0"/>
    <w:rPr>
      <w:rFonts w:cs="Times New Roman"/>
      <w:color w:val="800080"/>
      <w:u w:val="none"/>
    </w:rPr>
  </w:style>
  <w:style w:type="character" w:styleId="45">
    <w:name w:val="Emphasis"/>
    <w:autoRedefine/>
    <w:qFormat/>
    <w:uiPriority w:val="0"/>
  </w:style>
  <w:style w:type="character" w:styleId="46">
    <w:name w:val="HTML Definition"/>
    <w:autoRedefine/>
    <w:qFormat/>
    <w:uiPriority w:val="0"/>
  </w:style>
  <w:style w:type="character" w:styleId="47">
    <w:name w:val="HTML Typewriter"/>
    <w:autoRedefine/>
    <w:qFormat/>
    <w:uiPriority w:val="0"/>
    <w:rPr>
      <w:rFonts w:ascii="monospace" w:hAnsi="monospace" w:eastAsia="monospace" w:cs="monospace"/>
      <w:sz w:val="20"/>
    </w:rPr>
  </w:style>
  <w:style w:type="character" w:styleId="48">
    <w:name w:val="HTML Acronym"/>
    <w:autoRedefine/>
    <w:qFormat/>
    <w:uiPriority w:val="0"/>
  </w:style>
  <w:style w:type="character" w:styleId="49">
    <w:name w:val="HTML Variable"/>
    <w:autoRedefine/>
    <w:qFormat/>
    <w:uiPriority w:val="0"/>
  </w:style>
  <w:style w:type="character" w:styleId="50">
    <w:name w:val="Hyperlink"/>
    <w:basedOn w:val="40"/>
    <w:autoRedefine/>
    <w:qFormat/>
    <w:uiPriority w:val="0"/>
    <w:rPr>
      <w:rFonts w:cs="Times New Roman"/>
      <w:color w:val="0000FF"/>
      <w:u w:val="none"/>
    </w:rPr>
  </w:style>
  <w:style w:type="character" w:styleId="51">
    <w:name w:val="HTML Code"/>
    <w:autoRedefine/>
    <w:qFormat/>
    <w:uiPriority w:val="0"/>
    <w:rPr>
      <w:rFonts w:ascii="Arial" w:hAnsi="Arial" w:cs="Arial"/>
      <w:sz w:val="20"/>
    </w:rPr>
  </w:style>
  <w:style w:type="character" w:styleId="52">
    <w:name w:val="annotation reference"/>
    <w:autoRedefine/>
    <w:qFormat/>
    <w:uiPriority w:val="0"/>
    <w:rPr>
      <w:sz w:val="21"/>
      <w:szCs w:val="21"/>
    </w:rPr>
  </w:style>
  <w:style w:type="character" w:styleId="53">
    <w:name w:val="HTML Cite"/>
    <w:autoRedefine/>
    <w:qFormat/>
    <w:uiPriority w:val="0"/>
  </w:style>
  <w:style w:type="character" w:styleId="54">
    <w:name w:val="footnote reference"/>
    <w:autoRedefine/>
    <w:qFormat/>
    <w:uiPriority w:val="0"/>
    <w:rPr>
      <w:vertAlign w:val="superscript"/>
    </w:rPr>
  </w:style>
  <w:style w:type="character" w:styleId="55">
    <w:name w:val="HTML Keyboard"/>
    <w:autoRedefine/>
    <w:qFormat/>
    <w:uiPriority w:val="0"/>
    <w:rPr>
      <w:rFonts w:ascii="Arial" w:hAnsi="Arial" w:cs="Arial"/>
      <w:sz w:val="20"/>
    </w:rPr>
  </w:style>
  <w:style w:type="character" w:styleId="56">
    <w:name w:val="HTML Sample"/>
    <w:autoRedefine/>
    <w:qFormat/>
    <w:uiPriority w:val="0"/>
    <w:rPr>
      <w:rFonts w:ascii="Arial" w:hAnsi="Arial" w:cs="Arial"/>
    </w:rPr>
  </w:style>
  <w:style w:type="paragraph" w:customStyle="1" w:styleId="57">
    <w:name w:val="AONormal"/>
    <w:autoRedefine/>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customStyle="1" w:styleId="5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9">
    <w:name w:val="textcolor1"/>
    <w:autoRedefine/>
    <w:qFormat/>
    <w:uiPriority w:val="0"/>
    <w:rPr>
      <w:rFonts w:cs="Times New Roman"/>
      <w:color w:val="FF6600"/>
    </w:rPr>
  </w:style>
  <w:style w:type="character" w:customStyle="1" w:styleId="60">
    <w:name w:val="16"/>
    <w:autoRedefine/>
    <w:qFormat/>
    <w:uiPriority w:val="0"/>
    <w:rPr>
      <w:rFonts w:ascii="Times New Roman" w:hAnsi="Times New Roman" w:cs="Times New Roman"/>
      <w:color w:val="0000FF"/>
    </w:rPr>
  </w:style>
  <w:style w:type="paragraph" w:styleId="61">
    <w:name w:val="Quote"/>
    <w:basedOn w:val="1"/>
    <w:next w:val="1"/>
    <w:autoRedefine/>
    <w:qFormat/>
    <w:uiPriority w:val="0"/>
    <w:pPr>
      <w:ind w:left="100" w:leftChars="100" w:firstLine="200" w:firstLineChars="200"/>
    </w:pPr>
    <w:rPr>
      <w:i/>
      <w:iCs/>
      <w:color w:val="000000"/>
    </w:rPr>
  </w:style>
  <w:style w:type="character" w:customStyle="1" w:styleId="62">
    <w:name w:val="font31"/>
    <w:basedOn w:val="40"/>
    <w:autoRedefine/>
    <w:qFormat/>
    <w:uiPriority w:val="0"/>
    <w:rPr>
      <w:rFonts w:ascii="Times New Roman" w:hAnsi="Times New Roman"/>
      <w:color w:val="000000"/>
      <w:sz w:val="20"/>
      <w:u w:val="none"/>
    </w:rPr>
  </w:style>
  <w:style w:type="paragraph" w:customStyle="1" w:styleId="63">
    <w:name w:val="1111"/>
    <w:basedOn w:val="1"/>
    <w:autoRedefine/>
    <w:qFormat/>
    <w:uiPriority w:val="0"/>
    <w:pPr>
      <w:ind w:left="100" w:leftChars="100" w:firstLine="200" w:firstLineChars="200"/>
    </w:pPr>
  </w:style>
  <w:style w:type="character" w:customStyle="1" w:styleId="64">
    <w:name w:val="bsharetext"/>
    <w:autoRedefine/>
    <w:qFormat/>
    <w:uiPriority w:val="0"/>
  </w:style>
  <w:style w:type="character" w:customStyle="1" w:styleId="65">
    <w:name w:val="15"/>
    <w:autoRedefine/>
    <w:qFormat/>
    <w:uiPriority w:val="0"/>
    <w:rPr>
      <w:rFonts w:ascii="Times New Roman" w:hAnsi="Times New Roman" w:cs="Times New Roman"/>
      <w:color w:val="0000FF"/>
    </w:rPr>
  </w:style>
  <w:style w:type="character" w:customStyle="1" w:styleId="66">
    <w:name w:val="font61"/>
    <w:autoRedefine/>
    <w:qFormat/>
    <w:uiPriority w:val="0"/>
    <w:rPr>
      <w:rFonts w:ascii="Arial" w:hAnsi="Arial" w:cs="Arial"/>
      <w:b/>
      <w:color w:val="000000"/>
      <w:sz w:val="30"/>
      <w:szCs w:val="30"/>
      <w:u w:val="none"/>
    </w:rPr>
  </w:style>
  <w:style w:type="character" w:customStyle="1" w:styleId="67">
    <w:name w:val="纯文本 字符1"/>
    <w:autoRedefine/>
    <w:qFormat/>
    <w:uiPriority w:val="0"/>
    <w:rPr>
      <w:rFonts w:ascii="宋体" w:hAnsi="Courier New" w:eastAsia="仿宋_GB2312"/>
      <w:b/>
      <w:color w:val="000000"/>
      <w:sz w:val="21"/>
      <w:lang w:val="en-US" w:eastAsia="zh-CN" w:bidi="ar-SA"/>
    </w:rPr>
  </w:style>
  <w:style w:type="character" w:customStyle="1" w:styleId="68">
    <w:name w:val="leaidx"/>
    <w:autoRedefine/>
    <w:qFormat/>
    <w:uiPriority w:val="0"/>
  </w:style>
  <w:style w:type="character" w:customStyle="1" w:styleId="69">
    <w:name w:val="font81"/>
    <w:basedOn w:val="40"/>
    <w:autoRedefine/>
    <w:qFormat/>
    <w:uiPriority w:val="0"/>
    <w:rPr>
      <w:rFonts w:ascii="宋体" w:hAnsi="宋体" w:eastAsia="宋体" w:cs="宋体"/>
      <w:color w:val="000000"/>
      <w:sz w:val="22"/>
      <w:szCs w:val="22"/>
      <w:u w:val="none"/>
    </w:rPr>
  </w:style>
  <w:style w:type="character" w:customStyle="1" w:styleId="70">
    <w:name w:val="font51"/>
    <w:basedOn w:val="40"/>
    <w:autoRedefine/>
    <w:qFormat/>
    <w:uiPriority w:val="0"/>
    <w:rPr>
      <w:rFonts w:ascii="宋体" w:hAnsi="宋体" w:eastAsia="宋体" w:cs="宋体"/>
      <w:color w:val="000000"/>
      <w:sz w:val="22"/>
      <w:szCs w:val="22"/>
      <w:u w:val="none"/>
    </w:rPr>
  </w:style>
  <w:style w:type="character" w:customStyle="1" w:styleId="71">
    <w:name w:val="font11"/>
    <w:autoRedefine/>
    <w:qFormat/>
    <w:uiPriority w:val="0"/>
    <w:rPr>
      <w:rFonts w:ascii="Arial" w:hAnsi="Arial" w:cs="Arial"/>
      <w:b/>
      <w:color w:val="000000"/>
      <w:sz w:val="30"/>
      <w:szCs w:val="30"/>
      <w:u w:val="none"/>
    </w:rPr>
  </w:style>
  <w:style w:type="character" w:customStyle="1" w:styleId="72">
    <w:name w:val="font01"/>
    <w:autoRedefine/>
    <w:qFormat/>
    <w:uiPriority w:val="0"/>
    <w:rPr>
      <w:rFonts w:ascii="宋体" w:hAnsi="宋体" w:eastAsia="宋体" w:cs="宋体"/>
      <w:color w:val="000000"/>
      <w:sz w:val="22"/>
      <w:szCs w:val="22"/>
      <w:u w:val="none"/>
    </w:rPr>
  </w:style>
  <w:style w:type="paragraph" w:customStyle="1" w:styleId="73">
    <w:name w:val="表格头"/>
    <w:autoRedefine/>
    <w:qFormat/>
    <w:uiPriority w:val="0"/>
    <w:pPr>
      <w:jc w:val="center"/>
    </w:pPr>
    <w:rPr>
      <w:rFonts w:ascii="黑体" w:hAnsi="黑体" w:eastAsia="黑体" w:cs="Times New Roman"/>
      <w:kern w:val="2"/>
      <w:sz w:val="18"/>
      <w:szCs w:val="21"/>
      <w:lang w:val="en-US" w:eastAsia="zh-CN" w:bidi="ar-SA"/>
    </w:rPr>
  </w:style>
  <w:style w:type="paragraph" w:customStyle="1" w:styleId="74">
    <w:name w:val="表格内容"/>
    <w:basedOn w:val="1"/>
    <w:autoRedefine/>
    <w:qFormat/>
    <w:uiPriority w:val="0"/>
    <w:pPr>
      <w:jc w:val="center"/>
    </w:pPr>
    <w:rPr>
      <w:rFonts w:ascii="Times New Roman" w:hAnsi="Times New Roman"/>
      <w:szCs w:val="21"/>
    </w:rPr>
  </w:style>
  <w:style w:type="paragraph" w:customStyle="1" w:styleId="75">
    <w:name w:val="_Style 3"/>
    <w:basedOn w:val="1"/>
    <w:next w:val="1"/>
    <w:autoRedefine/>
    <w:qFormat/>
    <w:uiPriority w:val="0"/>
    <w:pPr>
      <w:pBdr>
        <w:bottom w:val="single" w:color="auto" w:sz="6" w:space="1"/>
      </w:pBdr>
      <w:jc w:val="center"/>
    </w:pPr>
    <w:rPr>
      <w:rFonts w:ascii="Arial" w:hAnsi="Arial"/>
      <w:vanish/>
      <w:sz w:val="16"/>
    </w:rPr>
  </w:style>
  <w:style w:type="paragraph" w:customStyle="1" w:styleId="76">
    <w:name w:val="章正文"/>
    <w:basedOn w:val="1"/>
    <w:autoRedefine/>
    <w:qFormat/>
    <w:uiPriority w:val="0"/>
    <w:pPr>
      <w:spacing w:before="50" w:beforeLines="50" w:after="120" w:line="300" w:lineRule="auto"/>
      <w:ind w:firstLine="480"/>
    </w:pPr>
    <w:rPr>
      <w:rFonts w:ascii="Helvetica" w:hAnsi="Helvetica"/>
      <w:kern w:val="0"/>
      <w:sz w:val="24"/>
      <w:szCs w:val="24"/>
    </w:rPr>
  </w:style>
  <w:style w:type="paragraph" w:customStyle="1" w:styleId="77">
    <w:name w:val="表格"/>
    <w:autoRedefine/>
    <w:qFormat/>
    <w:uiPriority w:val="0"/>
    <w:rPr>
      <w:rFonts w:ascii="Calibri" w:hAnsi="Calibri" w:eastAsia="宋体" w:cs="Times New Roman"/>
      <w:kern w:val="2"/>
      <w:sz w:val="15"/>
      <w:szCs w:val="22"/>
      <w:lang w:val="en-US" w:eastAsia="zh-CN" w:bidi="ar-SA"/>
    </w:rPr>
  </w:style>
  <w:style w:type="paragraph" w:styleId="78">
    <w:name w:val="List Paragraph"/>
    <w:basedOn w:val="1"/>
    <w:autoRedefine/>
    <w:qFormat/>
    <w:uiPriority w:val="0"/>
    <w:pPr>
      <w:ind w:left="100" w:leftChars="100" w:firstLine="200" w:firstLineChars="200"/>
    </w:pPr>
  </w:style>
  <w:style w:type="paragraph" w:customStyle="1" w:styleId="79">
    <w:name w:val="_Style 4"/>
    <w:basedOn w:val="1"/>
    <w:next w:val="1"/>
    <w:autoRedefine/>
    <w:qFormat/>
    <w:uiPriority w:val="0"/>
    <w:pPr>
      <w:pBdr>
        <w:top w:val="single" w:color="auto" w:sz="6" w:space="1"/>
      </w:pBdr>
      <w:jc w:val="center"/>
    </w:pPr>
    <w:rPr>
      <w:rFonts w:ascii="Arial" w:hAnsi="Arial"/>
      <w:vanish/>
      <w:sz w:val="16"/>
    </w:rPr>
  </w:style>
  <w:style w:type="paragraph" w:customStyle="1" w:styleId="80">
    <w:name w:val="正文2"/>
    <w:basedOn w:val="1"/>
    <w:next w:val="27"/>
    <w:autoRedefine/>
    <w:qFormat/>
    <w:uiPriority w:val="0"/>
    <w:pPr>
      <w:spacing w:before="156" w:line="360" w:lineRule="auto"/>
      <w:ind w:firstLine="200" w:firstLineChars="200"/>
    </w:pPr>
    <w:rPr>
      <w:sz w:val="24"/>
      <w:szCs w:val="20"/>
    </w:rPr>
  </w:style>
  <w:style w:type="paragraph" w:customStyle="1" w:styleId="81">
    <w:name w:val="正文 New New New New"/>
    <w:autoRedefine/>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82">
    <w:name w:val="[Normal]"/>
    <w:autoRedefine/>
    <w:qFormat/>
    <w:uiPriority w:val="0"/>
    <w:rPr>
      <w:rFonts w:ascii="宋体" w:hAnsi="宋体" w:eastAsia="宋体" w:cs="Times New Roman"/>
      <w:sz w:val="24"/>
      <w:szCs w:val="22"/>
      <w:lang w:val="zh-CN" w:eastAsia="zh-CN" w:bidi="ar-SA"/>
    </w:rPr>
  </w:style>
  <w:style w:type="paragraph" w:customStyle="1" w:styleId="83">
    <w:name w:val="_Style 19"/>
    <w:basedOn w:val="1"/>
    <w:autoRedefine/>
    <w:qFormat/>
    <w:uiPriority w:val="0"/>
    <w:rPr>
      <w:rFonts w:ascii="仿宋_GB2312" w:hAnsi="宋体" w:eastAsia="仿宋_GB2312" w:cs="宋体"/>
      <w:b/>
      <w:bCs/>
      <w:color w:val="000000"/>
      <w:kern w:val="0"/>
      <w:szCs w:val="21"/>
    </w:rPr>
  </w:style>
  <w:style w:type="paragraph" w:customStyle="1" w:styleId="84">
    <w:name w:val="标准正文"/>
    <w:basedOn w:val="1"/>
    <w:autoRedefine/>
    <w:qFormat/>
    <w:uiPriority w:val="0"/>
    <w:pPr>
      <w:spacing w:before="156" w:after="156" w:line="360" w:lineRule="auto"/>
      <w:ind w:firstLine="200" w:firstLineChars="200"/>
    </w:pPr>
    <w:rPr>
      <w:rFonts w:ascii="Times New Roman" w:hAnsi="Times New Roman"/>
      <w:szCs w:val="20"/>
    </w:rPr>
  </w:style>
  <w:style w:type="paragraph" w:customStyle="1" w:styleId="85">
    <w:name w:val="列出段落1"/>
    <w:basedOn w:val="1"/>
    <w:autoRedefine/>
    <w:qFormat/>
    <w:uiPriority w:val="0"/>
    <w:pPr>
      <w:spacing w:line="415" w:lineRule="auto"/>
      <w:ind w:left="420" w:firstLine="200" w:firstLineChars="200"/>
      <w:jc w:val="left"/>
    </w:pPr>
    <w:rPr>
      <w:sz w:val="28"/>
    </w:rPr>
  </w:style>
  <w:style w:type="paragraph" w:customStyle="1" w:styleId="86">
    <w:name w:val="TOC 标题1"/>
    <w:basedOn w:val="2"/>
    <w:next w:val="1"/>
    <w:autoRedefine/>
    <w:qFormat/>
    <w:uiPriority w:val="0"/>
    <w:pPr>
      <w:keepNext/>
      <w:keepLines/>
      <w:widowControl/>
      <w:spacing w:before="240" w:after="50" w:afterLines="50" w:line="259" w:lineRule="auto"/>
      <w:jc w:val="center"/>
      <w:outlineLvl w:val="9"/>
    </w:pPr>
    <w:rPr>
      <w:rFonts w:ascii="Cambria" w:hAnsi="Cambria"/>
      <w:b w:val="0"/>
      <w:color w:val="365F91"/>
      <w:kern w:val="0"/>
      <w:sz w:val="32"/>
      <w:szCs w:val="32"/>
    </w:rPr>
  </w:style>
  <w:style w:type="paragraph" w:customStyle="1" w:styleId="87">
    <w:name w:val="xl77"/>
    <w:basedOn w:val="1"/>
    <w:autoRedefine/>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Arial Unicode MS" w:hAnsi="Arial Unicode MS"/>
      <w:sz w:val="28"/>
      <w:szCs w:val="28"/>
    </w:rPr>
  </w:style>
  <w:style w:type="character" w:customStyle="1" w:styleId="88">
    <w:name w:val="font41"/>
    <w:basedOn w:val="40"/>
    <w:autoRedefine/>
    <w:qFormat/>
    <w:uiPriority w:val="0"/>
    <w:rPr>
      <w:rFonts w:ascii="Arial" w:hAnsi="Arial" w:cs="Arial"/>
      <w:b/>
      <w:color w:val="000000"/>
      <w:sz w:val="30"/>
      <w:szCs w:val="30"/>
      <w:u w:val="none"/>
    </w:rPr>
  </w:style>
  <w:style w:type="character" w:customStyle="1" w:styleId="89">
    <w:name w:val="font91"/>
    <w:basedOn w:val="40"/>
    <w:autoRedefine/>
    <w:qFormat/>
    <w:uiPriority w:val="0"/>
    <w:rPr>
      <w:rFonts w:ascii="Arial" w:hAnsi="Arial" w:cs="Arial"/>
      <w:color w:val="000000"/>
      <w:sz w:val="22"/>
      <w:szCs w:val="22"/>
      <w:u w:val="none"/>
    </w:rPr>
  </w:style>
  <w:style w:type="character" w:customStyle="1" w:styleId="90">
    <w:name w:val="font71"/>
    <w:autoRedefine/>
    <w:qFormat/>
    <w:uiPriority w:val="0"/>
    <w:rPr>
      <w:rFonts w:ascii="仿宋" w:hAnsi="仿宋" w:eastAsia="仿宋" w:cs="仿宋"/>
      <w:color w:val="000000"/>
      <w:sz w:val="22"/>
      <w:szCs w:val="22"/>
      <w:u w:val="none"/>
    </w:rPr>
  </w:style>
  <w:style w:type="paragraph" w:customStyle="1" w:styleId="91">
    <w:name w:val="_Style 117"/>
    <w:basedOn w:val="14"/>
    <w:next w:val="15"/>
    <w:autoRedefine/>
    <w:qFormat/>
    <w:uiPriority w:val="0"/>
    <w:pPr>
      <w:tabs>
        <w:tab w:val="left" w:pos="482"/>
        <w:tab w:val="left" w:pos="2183"/>
        <w:tab w:val="left" w:pos="3884"/>
        <w:tab w:val="left" w:pos="5585"/>
      </w:tabs>
      <w:adjustRightInd w:val="0"/>
      <w:spacing w:after="0"/>
      <w:ind w:firstLine="482"/>
      <w:textAlignment w:val="baseline"/>
    </w:pPr>
    <w:rPr>
      <w:rFonts w:ascii="Times New Roman" w:hAnsi="Times New Roman"/>
      <w:kern w:val="0"/>
      <w:sz w:val="24"/>
      <w:szCs w:val="20"/>
    </w:rPr>
  </w:style>
  <w:style w:type="paragraph" w:customStyle="1" w:styleId="92">
    <w:name w:val="段落"/>
    <w:basedOn w:val="85"/>
    <w:autoRedefine/>
    <w:qFormat/>
    <w:uiPriority w:val="0"/>
    <w:rPr>
      <w:rFonts w:ascii="Verdana" w:hAnsi="Verdana"/>
      <w:color w:val="000000"/>
      <w:shd w:val="clear" w:color="auto" w:fill="FFFFFF"/>
    </w:rPr>
  </w:style>
  <w:style w:type="paragraph" w:customStyle="1" w:styleId="93">
    <w:name w:val="表格字体"/>
    <w:basedOn w:val="1"/>
    <w:autoRedefine/>
    <w:qFormat/>
    <w:uiPriority w:val="0"/>
    <w:pPr>
      <w:autoSpaceDE w:val="0"/>
      <w:autoSpaceDN w:val="0"/>
      <w:adjustRightInd w:val="0"/>
      <w:snapToGrid w:val="0"/>
      <w:spacing w:line="240" w:lineRule="auto"/>
      <w:ind w:firstLine="0"/>
      <w:jc w:val="center"/>
    </w:pPr>
    <w:rPr>
      <w:rFonts w:ascii="Times New Roman" w:hAnsi="Times New Roman" w:cs="宋体"/>
      <w:color w:val="000000"/>
      <w:kern w:val="0"/>
      <w:sz w:val="21"/>
    </w:rPr>
  </w:style>
  <w:style w:type="character" w:customStyle="1" w:styleId="94">
    <w:name w:val="NormalCharacter"/>
    <w:autoRedefine/>
    <w:qFormat/>
    <w:uiPriority w:val="0"/>
    <w:rPr>
      <w:kern w:val="2"/>
      <w:sz w:val="21"/>
      <w:szCs w:val="24"/>
      <w:lang w:val="en-US" w:eastAsia="zh-CN" w:bidi="ar-SA"/>
    </w:rPr>
  </w:style>
  <w:style w:type="paragraph" w:customStyle="1" w:styleId="95">
    <w:name w:val="+正文"/>
    <w:basedOn w:val="1"/>
    <w:autoRedefine/>
    <w:qFormat/>
    <w:uiPriority w:val="0"/>
    <w:pPr>
      <w:spacing w:line="360" w:lineRule="auto"/>
      <w:ind w:firstLine="200"/>
    </w:pPr>
    <w:rPr>
      <w:kern w:val="2"/>
      <w:sz w:val="24"/>
      <w:szCs w:val="28"/>
    </w:rPr>
  </w:style>
  <w:style w:type="paragraph" w:customStyle="1" w:styleId="96">
    <w:name w:val="+标题4"/>
    <w:basedOn w:val="5"/>
    <w:autoRedefine/>
    <w:qFormat/>
    <w:uiPriority w:val="0"/>
    <w:pPr>
      <w:tabs>
        <w:tab w:val="left" w:pos="0"/>
      </w:tabs>
      <w:spacing w:before="120" w:after="120" w:line="360" w:lineRule="auto"/>
      <w:ind w:firstLine="0"/>
    </w:pPr>
    <w:rPr>
      <w:rFonts w:ascii="Times New Roman" w:hAnsi="Times New Roman" w:eastAsia="宋体"/>
      <w:kern w:val="2"/>
      <w:sz w:val="24"/>
    </w:rPr>
  </w:style>
  <w:style w:type="paragraph" w:customStyle="1" w:styleId="97">
    <w:name w:val="+正文 Char Char5"/>
    <w:basedOn w:val="1"/>
    <w:autoRedefine/>
    <w:qFormat/>
    <w:uiPriority w:val="0"/>
    <w:pPr>
      <w:spacing w:line="360" w:lineRule="auto"/>
      <w:ind w:firstLine="200"/>
    </w:pPr>
    <w:rPr>
      <w:kern w:val="2"/>
      <w:sz w:val="24"/>
    </w:rPr>
  </w:style>
  <w:style w:type="paragraph" w:customStyle="1" w:styleId="98">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99">
    <w:name w:val="msonospacing"/>
    <w:basedOn w:val="1"/>
    <w:autoRedefine/>
    <w:qFormat/>
    <w:uiPriority w:val="0"/>
    <w:rPr>
      <w:szCs w:val="22"/>
    </w:rPr>
  </w:style>
  <w:style w:type="paragraph" w:customStyle="1" w:styleId="100">
    <w:name w:val="表格文字"/>
    <w:basedOn w:val="19"/>
    <w:next w:val="14"/>
    <w:autoRedefine/>
    <w:qFormat/>
    <w:uiPriority w:val="0"/>
    <w:pPr>
      <w:jc w:val="left"/>
    </w:pPr>
    <w:rPr>
      <w:rFonts w:eastAsia="宋体" w:cs="Times New Roman"/>
      <w:color w:val="auto"/>
      <w:sz w:val="24"/>
    </w:rPr>
  </w:style>
  <w:style w:type="character" w:customStyle="1" w:styleId="101">
    <w:name w:val="font101"/>
    <w:basedOn w:val="40"/>
    <w:autoRedefine/>
    <w:qFormat/>
    <w:uiPriority w:val="0"/>
    <w:rPr>
      <w:rFonts w:ascii="宋体" w:hAnsi="宋体" w:eastAsia="宋体" w:cs="宋体"/>
      <w:color w:val="000000"/>
      <w:sz w:val="16"/>
      <w:szCs w:val="16"/>
      <w:u w:val="none"/>
    </w:rPr>
  </w:style>
  <w:style w:type="character" w:customStyle="1" w:styleId="102">
    <w:name w:val="font231"/>
    <w:basedOn w:val="40"/>
    <w:autoRedefine/>
    <w:qFormat/>
    <w:uiPriority w:val="0"/>
    <w:rPr>
      <w:rFonts w:ascii="宋体" w:hAnsi="宋体" w:eastAsia="宋体" w:cs="宋体"/>
      <w:color w:val="000000"/>
      <w:sz w:val="16"/>
      <w:szCs w:val="16"/>
      <w:u w:val="none"/>
      <w:vertAlign w:val="superscript"/>
    </w:rPr>
  </w:style>
  <w:style w:type="character" w:customStyle="1" w:styleId="103">
    <w:name w:val="font241"/>
    <w:basedOn w:val="40"/>
    <w:autoRedefine/>
    <w:qFormat/>
    <w:uiPriority w:val="0"/>
    <w:rPr>
      <w:rFonts w:ascii="宋体" w:hAnsi="宋体" w:eastAsia="宋体" w:cs="宋体"/>
      <w:color w:val="000000"/>
      <w:sz w:val="16"/>
      <w:szCs w:val="16"/>
      <w:u w:val="none"/>
      <w:vertAlign w:val="subscript"/>
    </w:rPr>
  </w:style>
  <w:style w:type="character" w:customStyle="1" w:styleId="104">
    <w:name w:val="font161"/>
    <w:basedOn w:val="40"/>
    <w:autoRedefine/>
    <w:qFormat/>
    <w:uiPriority w:val="0"/>
    <w:rPr>
      <w:rFonts w:ascii="宋体" w:hAnsi="宋体" w:eastAsia="宋体" w:cs="宋体"/>
      <w:color w:val="404040"/>
      <w:sz w:val="16"/>
      <w:szCs w:val="16"/>
      <w:u w:val="none"/>
    </w:rPr>
  </w:style>
  <w:style w:type="paragraph" w:customStyle="1" w:styleId="105">
    <w:name w:val="Plain Text1"/>
    <w:basedOn w:val="1"/>
    <w:autoRedefine/>
    <w:qFormat/>
    <w:uiPriority w:val="0"/>
    <w:rPr>
      <w:rFonts w:ascii="宋体" w:hAnsi="Courier New"/>
      <w:szCs w:val="20"/>
    </w:rPr>
  </w:style>
  <w:style w:type="paragraph" w:customStyle="1" w:styleId="106">
    <w:name w:val="Body Text Indent 21"/>
    <w:basedOn w:val="1"/>
    <w:qFormat/>
    <w:uiPriority w:val="99"/>
    <w:pPr>
      <w:widowControl/>
      <w:spacing w:line="480" w:lineRule="atLeast"/>
      <w:ind w:firstLine="480"/>
    </w:pPr>
    <w:rPr>
      <w:rFonts w:asci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E11198-24DA-40FE-AD6C-3B9C959E6A49}">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78</Pages>
  <Words>2580</Words>
  <Characters>2917</Characters>
  <Lines>0</Lines>
  <Paragraphs>951</Paragraphs>
  <TotalTime>11</TotalTime>
  <ScaleCrop>false</ScaleCrop>
  <LinksUpToDate>false</LinksUpToDate>
  <CharactersWithSpaces>2948</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2022-11-03T05:04:00Z</dcterms:created>
  <dc:creator>Administrator</dc:creator>
  <cp:lastModifiedBy>路过</cp:lastModifiedBy>
  <cp:lastPrinted>2024-06-13T02:02:00Z</cp:lastPrinted>
  <dcterms:modified xsi:type="dcterms:W3CDTF">2026-01-23T06:20:06Z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454A956F38474727A8E1744708606812_13</vt:lpwstr>
  </property>
  <property fmtid="{D5CDD505-2E9C-101B-9397-08002B2CF9AE}" pid="4" name="KSOTemplateDocerSaveRecord">
    <vt:lpwstr>eyJoZGlkIjoiNDM3MGIzMjJmMWMzNGQzMTNiZTA3NmRmYTk1OGU3M2MiLCJ1c2VySWQiOiIyNTY1NDc3MTcifQ==</vt:lpwstr>
  </property>
</Properties>
</file>