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8167C">
      <w:pPr>
        <w:jc w:val="center"/>
        <w:rPr>
          <w:rFonts w:hint="eastAsia" w:ascii="华文中宋" w:hAnsi="华文中宋" w:eastAsia="华文中宋" w:cs="华文中宋"/>
          <w:sz w:val="52"/>
          <w:szCs w:val="52"/>
        </w:rPr>
      </w:pPr>
      <w:bookmarkStart w:id="0" w:name="_GoBack"/>
      <w:bookmarkEnd w:id="0"/>
      <w:r>
        <w:rPr>
          <w:rFonts w:hint="eastAsia" w:ascii="华文中宋" w:hAnsi="华文中宋" w:eastAsia="华文中宋" w:cs="华文中宋"/>
          <w:sz w:val="52"/>
          <w:szCs w:val="52"/>
        </w:rPr>
        <w:t>10kV动态无功补偿装置SVG技术规范书</w:t>
      </w:r>
    </w:p>
    <w:p w14:paraId="6AF10A49">
      <w:pPr>
        <w:rPr>
          <w:rFonts w:hint="eastAsia" w:ascii="仿宋_GB2312" w:hAnsi="仿宋_GB2312" w:eastAsia="仿宋_GB2312" w:cs="仿宋_GB2312"/>
          <w:sz w:val="32"/>
          <w:szCs w:val="32"/>
        </w:rPr>
      </w:pPr>
    </w:p>
    <w:p w14:paraId="3D94717B">
      <w:pPr>
        <w:rPr>
          <w:rFonts w:hint="eastAsia" w:ascii="仿宋_GB2312" w:hAnsi="仿宋_GB2312" w:eastAsia="仿宋_GB2312" w:cs="仿宋_GB2312"/>
          <w:sz w:val="32"/>
          <w:szCs w:val="32"/>
        </w:rPr>
      </w:pPr>
    </w:p>
    <w:p w14:paraId="46E7DEDA">
      <w:pPr>
        <w:rPr>
          <w:rFonts w:hint="eastAsia" w:ascii="仿宋_GB2312" w:hAnsi="仿宋_GB2312" w:eastAsia="仿宋_GB2312" w:cs="仿宋_GB2312"/>
          <w:sz w:val="32"/>
          <w:szCs w:val="32"/>
        </w:rPr>
      </w:pPr>
    </w:p>
    <w:p w14:paraId="7B5F0BBC">
      <w:pPr>
        <w:rPr>
          <w:rFonts w:hint="eastAsia" w:ascii="仿宋_GB2312" w:hAnsi="仿宋_GB2312" w:eastAsia="仿宋_GB2312" w:cs="仿宋_GB2312"/>
          <w:sz w:val="32"/>
          <w:szCs w:val="32"/>
        </w:rPr>
      </w:pPr>
    </w:p>
    <w:p w14:paraId="1AA8AD61">
      <w:pPr>
        <w:rPr>
          <w:rFonts w:hint="eastAsia" w:ascii="仿宋_GB2312" w:hAnsi="仿宋_GB2312" w:eastAsia="仿宋_GB2312" w:cs="仿宋_GB2312"/>
          <w:sz w:val="32"/>
          <w:szCs w:val="32"/>
        </w:rPr>
      </w:pPr>
    </w:p>
    <w:p w14:paraId="26BBE0E8">
      <w:pPr>
        <w:rPr>
          <w:rFonts w:hint="eastAsia" w:ascii="仿宋_GB2312" w:hAnsi="仿宋_GB2312" w:eastAsia="仿宋_GB2312" w:cs="仿宋_GB2312"/>
          <w:sz w:val="32"/>
          <w:szCs w:val="32"/>
        </w:rPr>
      </w:pPr>
    </w:p>
    <w:p w14:paraId="010B5AA2">
      <w:pPr>
        <w:rPr>
          <w:rFonts w:hint="eastAsia" w:ascii="仿宋_GB2312" w:hAnsi="仿宋_GB2312" w:eastAsia="仿宋_GB2312" w:cs="仿宋_GB2312"/>
          <w:sz w:val="32"/>
          <w:szCs w:val="32"/>
        </w:rPr>
      </w:pPr>
    </w:p>
    <w:p w14:paraId="4F0F0F90">
      <w:pPr>
        <w:rPr>
          <w:rFonts w:hint="eastAsia" w:ascii="仿宋_GB2312" w:hAnsi="仿宋_GB2312" w:eastAsia="仿宋_GB2312" w:cs="仿宋_GB2312"/>
          <w:sz w:val="32"/>
          <w:szCs w:val="32"/>
        </w:rPr>
      </w:pPr>
    </w:p>
    <w:p w14:paraId="2841F6DB">
      <w:pPr>
        <w:rPr>
          <w:rFonts w:hint="eastAsia" w:ascii="仿宋_GB2312" w:hAnsi="仿宋_GB2312" w:eastAsia="仿宋_GB2312" w:cs="仿宋_GB2312"/>
          <w:sz w:val="32"/>
          <w:szCs w:val="32"/>
        </w:rPr>
      </w:pPr>
    </w:p>
    <w:p w14:paraId="7C38D186">
      <w:pPr>
        <w:rPr>
          <w:rFonts w:hint="eastAsia" w:ascii="仿宋_GB2312" w:hAnsi="仿宋_GB2312" w:eastAsia="仿宋_GB2312" w:cs="仿宋_GB2312"/>
          <w:sz w:val="32"/>
          <w:szCs w:val="32"/>
        </w:rPr>
      </w:pPr>
    </w:p>
    <w:p w14:paraId="7DCA3702">
      <w:pPr>
        <w:rPr>
          <w:rFonts w:hint="eastAsia" w:ascii="仿宋_GB2312" w:hAnsi="仿宋_GB2312" w:eastAsia="仿宋_GB2312" w:cs="仿宋_GB2312"/>
          <w:sz w:val="32"/>
          <w:szCs w:val="32"/>
        </w:rPr>
      </w:pPr>
    </w:p>
    <w:p w14:paraId="4B5F282A">
      <w:pPr>
        <w:rPr>
          <w:rFonts w:hint="eastAsia" w:ascii="仿宋_GB2312" w:hAnsi="仿宋_GB2312" w:eastAsia="仿宋_GB2312" w:cs="仿宋_GB2312"/>
          <w:sz w:val="32"/>
          <w:szCs w:val="32"/>
        </w:rPr>
      </w:pPr>
    </w:p>
    <w:p w14:paraId="092D6194">
      <w:pPr>
        <w:rPr>
          <w:rFonts w:hint="eastAsia" w:ascii="仿宋_GB2312" w:hAnsi="仿宋_GB2312" w:eastAsia="仿宋_GB2312" w:cs="仿宋_GB2312"/>
          <w:sz w:val="32"/>
          <w:szCs w:val="32"/>
        </w:rPr>
      </w:pPr>
    </w:p>
    <w:p w14:paraId="7321EFDA">
      <w:pPr>
        <w:rPr>
          <w:rFonts w:hint="eastAsia" w:ascii="仿宋_GB2312" w:hAnsi="仿宋_GB2312" w:eastAsia="仿宋_GB2312" w:cs="仿宋_GB2312"/>
          <w:sz w:val="32"/>
          <w:szCs w:val="32"/>
        </w:rPr>
      </w:pPr>
    </w:p>
    <w:p w14:paraId="652F0A6E">
      <w:pPr>
        <w:rPr>
          <w:rFonts w:hint="eastAsia" w:ascii="仿宋_GB2312" w:hAnsi="仿宋_GB2312" w:eastAsia="仿宋_GB2312" w:cs="仿宋_GB2312"/>
          <w:sz w:val="32"/>
          <w:szCs w:val="32"/>
        </w:rPr>
      </w:pPr>
    </w:p>
    <w:p w14:paraId="1975CA86">
      <w:pPr>
        <w:rPr>
          <w:rFonts w:hint="eastAsia" w:ascii="仿宋_GB2312" w:hAnsi="仿宋_GB2312" w:eastAsia="仿宋_GB2312" w:cs="仿宋_GB2312"/>
          <w:sz w:val="32"/>
          <w:szCs w:val="32"/>
        </w:rPr>
      </w:pPr>
    </w:p>
    <w:p w14:paraId="78986704">
      <w:pPr>
        <w:rPr>
          <w:rFonts w:hint="eastAsia" w:ascii="仿宋_GB2312" w:hAnsi="仿宋_GB2312" w:eastAsia="仿宋_GB2312" w:cs="仿宋_GB2312"/>
          <w:sz w:val="32"/>
          <w:szCs w:val="32"/>
        </w:rPr>
      </w:pPr>
    </w:p>
    <w:p w14:paraId="4710A5A8">
      <w:pPr>
        <w:ind w:firstLine="3200" w:firstLineChars="1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2026年05月 </w:t>
      </w:r>
    </w:p>
    <w:p w14:paraId="371962EC">
      <w:pPr>
        <w:rPr>
          <w:rFonts w:hint="eastAsia" w:ascii="仿宋_GB2312" w:hAnsi="仿宋_GB2312" w:eastAsia="仿宋_GB2312" w:cs="仿宋_GB2312"/>
          <w:sz w:val="32"/>
          <w:szCs w:val="32"/>
        </w:rPr>
      </w:pPr>
    </w:p>
    <w:p w14:paraId="19809E64">
      <w:pPr>
        <w:ind w:firstLine="2570" w:firstLineChars="800"/>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rPr>
        <w:t>第一章 技术规范书</w:t>
      </w:r>
    </w:p>
    <w:p w14:paraId="2E49B40F">
      <w:pPr>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rPr>
        <w:t>一、总则</w:t>
      </w:r>
    </w:p>
    <w:p w14:paraId="0DE285D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本技术规范书提出了对高压动态无功补偿装置SVG本体及附属设备的功能设计、结构、性能、安装和试验等方面的技术要求。</w:t>
      </w:r>
    </w:p>
    <w:p w14:paraId="7EF9E8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技术规范书提出的是最低限度的技术要求，并未对一切技术细节做出规定，也未充分引述有关标准和规范的条文。卖方应提供符合本技术规范书引用标准的最新版本标准和本技术规范书技术要求的全新产品。如果所引用的标准之间不一致或本技术规范书所使用的标准与卖方所执行的标准不一致时，按要求较高的标准执行。</w:t>
      </w:r>
    </w:p>
    <w:p w14:paraId="4BE572B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本技术规范书将作为订货合同的附件，与合同具有同等的法律效力。本技术规范书未尽事宜，由合同签约双方在合同谈判时协商确定。</w:t>
      </w:r>
    </w:p>
    <w:p w14:paraId="30FF30E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卖方保证提供的产品符合安全、健康、环保标准的要求。卖方对成套设备（含辅助系统与设备）负有全部技术及质量责任，包括分包（或采购）的设备和零部件。</w:t>
      </w:r>
    </w:p>
    <w:p w14:paraId="13B899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本技术规范书提出了对10kV高压SVG装置的技术参数、性能、结构、试验等方面的技术要求。</w:t>
      </w:r>
    </w:p>
    <w:p w14:paraId="14EA66A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若卖方所提供的技术资料前后有不一致的地方，以有利于设备安装运行、工程质量为原则，由买卖双方协商确定。</w:t>
      </w:r>
    </w:p>
    <w:p w14:paraId="27AAD604">
      <w:pPr>
        <w:rPr>
          <w:rFonts w:hint="eastAsia" w:ascii="仿宋_GB2312" w:hAnsi="仿宋_GB2312" w:eastAsia="仿宋_GB2312" w:cs="仿宋_GB2312"/>
          <w:sz w:val="32"/>
          <w:szCs w:val="32"/>
        </w:rPr>
      </w:pPr>
    </w:p>
    <w:p w14:paraId="641FCE55">
      <w:pPr>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rPr>
        <w:t>二、标准和规范</w:t>
      </w:r>
    </w:p>
    <w:p w14:paraId="235481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合同设备包括卖方向其他厂商购买的所有附件和设备，这些附件和设备应符合相应的标准规范或法规的最新版本或其修正本的要求。</w:t>
      </w:r>
    </w:p>
    <w:p w14:paraId="7231ABE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非合同另有规定，均须遵守最新的国家标准（GB）和国际电工委员会（IEC）标准以及国际单位制（SI）标准。尚没有国际性标准的，可采用相应的生产国所采用的标准，但其技术等方面标准不得低于国家、电力行业对此的各种标准、法规、规定所提出的要求。当上述标准不一致时按高标准执行。</w:t>
      </w:r>
    </w:p>
    <w:p w14:paraId="4ADE9A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提供的设备和配套件要符合以下最新版本的标准（包含但不限于），所有设备都符合相应的标准、规范或法规的最新版本或其修正本的要求，除非另有特别说明外，合同期内有效的任何修正和补充都应包括在内：</w:t>
      </w:r>
    </w:p>
    <w:p w14:paraId="1F2265D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GB/T 11022-2020《高压开关设备和控制设备标准的共用技术要求》</w:t>
      </w:r>
    </w:p>
    <w:p w14:paraId="51FE021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14549-1993《电能质量 公用电网谐波》</w:t>
      </w:r>
    </w:p>
    <w:p w14:paraId="4457E6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15543-2008《电能质量 三相电压允许不平衡度》</w:t>
      </w:r>
    </w:p>
    <w:p w14:paraId="4642B60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 12326-2008《电能质量 电压波动和闪变》</w:t>
      </w:r>
    </w:p>
    <w:p w14:paraId="3047573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12325-2008《电能质量 供电电压偏差》</w:t>
      </w:r>
    </w:p>
    <w:p w14:paraId="1F8838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19862-2016《电能质量监测设备通用要求》</w:t>
      </w:r>
    </w:p>
    <w:p w14:paraId="2113E9A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3859.1-2013《半导体变流器 通用要求和电网换相变流器》</w:t>
      </w:r>
    </w:p>
    <w:p w14:paraId="076381A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1094.6-2011《电力变压器 第6部分：电抗器》</w:t>
      </w:r>
    </w:p>
    <w:p w14:paraId="54B6B42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4208-2017《外壳防护等级（IP代码）》</w:t>
      </w:r>
    </w:p>
    <w:p w14:paraId="02C33E2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DL/T 1216-2013《静止无功发生器装置技术规范》</w:t>
      </w:r>
    </w:p>
    <w:p w14:paraId="31167C8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DL/T 672-2015《变电所电压无功调节控制装置订货技术条件》</w:t>
      </w:r>
    </w:p>
    <w:p w14:paraId="710F6E4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DL/T 597-2017《低压无功补偿控制器订货技术条件》</w:t>
      </w:r>
    </w:p>
    <w:p w14:paraId="080D7CA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11920-2008《电站电气部分集中控制设备及系统通用技术条件》</w:t>
      </w:r>
    </w:p>
    <w:p w14:paraId="0005649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 1207-2006《电磁式电压互感器》</w:t>
      </w:r>
    </w:p>
    <w:p w14:paraId="35D350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SD 325-2016《电力系统电压和无功电力技术导则》</w:t>
      </w:r>
    </w:p>
    <w:p w14:paraId="42F2D4B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DL/T 840-2016《高压并联电容器使用技术条件》</w:t>
      </w:r>
    </w:p>
    <w:p w14:paraId="15BB6EA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 50227-2017《并联电容器装置设计规范》</w:t>
      </w:r>
    </w:p>
    <w:p w14:paraId="1FC1278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 311.1-2012《高压输变电设备的绝缘配合》</w:t>
      </w:r>
    </w:p>
    <w:p w14:paraId="2B1FD5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11024.1-2019《标称电压1kV以上交流电力系统用并联电容器 第1部分：总则》</w:t>
      </w:r>
    </w:p>
    <w:p w14:paraId="26A32C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JB/T 5346-2014《串联电抗器》</w:t>
      </w:r>
    </w:p>
    <w:p w14:paraId="56CA63E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 1985-2014《高压交流隔离开关和接地开关》</w:t>
      </w:r>
    </w:p>
    <w:p w14:paraId="1BD1AB1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DL/T 653-2009《高压并联电容器用放电线圈使用技术条件》</w:t>
      </w:r>
    </w:p>
    <w:p w14:paraId="6457E4B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11032-2020《交流无间隙金属氧化物避雷器》</w:t>
      </w:r>
    </w:p>
    <w:p w14:paraId="76E9E0C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11022-2020《高压开关设备和控制设备标准的共用技术要求》</w:t>
      </w:r>
    </w:p>
    <w:p w14:paraId="35039D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 1094.1～1094.5《电力变压器》</w:t>
      </w:r>
    </w:p>
    <w:p w14:paraId="0A74D22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6451-2015《油浸式电力变压器技术参数和要求》</w:t>
      </w:r>
    </w:p>
    <w:p w14:paraId="3BE472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GB/T 14285-2016《继电保护和安全自动装置技术规程》</w:t>
      </w:r>
    </w:p>
    <w:p w14:paraId="3C28643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GB 50217-2018《电力工程电缆设计规范》</w:t>
      </w:r>
    </w:p>
    <w:p w14:paraId="033B70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IEC 61000-4系列《电磁兼容性（EMC）》</w:t>
      </w:r>
    </w:p>
    <w:p w14:paraId="6D1B4C9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《国家电网公司十八项电网重大反事故措施》（国家电网公司）</w:t>
      </w:r>
    </w:p>
    <w:p w14:paraId="4009285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以上标准应执行最新版本，当上述标准与现行标准不一致时按高标准执行。如果本技术规范书有与上述规程、规范和标准明显抵触的条文，卖方应及时通告买方进行书面解决。</w:t>
      </w:r>
    </w:p>
    <w:p w14:paraId="2ACA9EB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标准和规定仅提出了基本的技术要求。如果卖方提出了更合理的设计、材料、制造工艺等，同时又能使卖方提供的设备性能达到本标书的要求，并确保安全、稳定、连续运行，在征得买方同意后，卖方可以不全部使用上述标准和规定。</w:t>
      </w:r>
    </w:p>
    <w:p w14:paraId="40CA27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对于采用引进技术产品的设备，在采用上述标准的同时，还应采用国外有关标准，但不得低于相应的中国国家标准。</w:t>
      </w:r>
    </w:p>
    <w:p w14:paraId="4C74A079">
      <w:pPr>
        <w:rPr>
          <w:rFonts w:hint="eastAsia" w:ascii="仿宋_GB2312" w:hAnsi="仿宋_GB2312" w:eastAsia="仿宋_GB2312" w:cs="仿宋_GB2312"/>
          <w:sz w:val="32"/>
          <w:szCs w:val="32"/>
        </w:rPr>
      </w:pPr>
    </w:p>
    <w:p w14:paraId="77594AAE">
      <w:pPr>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rPr>
        <w:t>三、工程概况</w:t>
      </w:r>
    </w:p>
    <w:p w14:paraId="60F1A55D">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3.1 工程概述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工程位于浙江省。</w:t>
      </w:r>
    </w:p>
    <w:p w14:paraId="6999A65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3.2 环境条件</w:t>
      </w:r>
    </w:p>
    <w:p w14:paraId="3EAAF87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周围空气温度：最高温度40℃，最低温度-25℃，最大日温差25℃，日照强度0.1W/cm²（风速0.5m/s）</w:t>
      </w:r>
    </w:p>
    <w:p w14:paraId="7740EF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海拔高度：≤1000m</w:t>
      </w:r>
    </w:p>
    <w:p w14:paraId="704BEC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最大风速：35m/s（抗台风要求≥36m/s）</w:t>
      </w:r>
    </w:p>
    <w:p w14:paraId="57BBA43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环境相对湿度平均值：90％（25℃时）</w:t>
      </w:r>
    </w:p>
    <w:p w14:paraId="3AEDE95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污秽等级：d级（按Ⅲ级考虑）</w:t>
      </w:r>
    </w:p>
    <w:p w14:paraId="0CFC201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地震烈度：Ⅶ度</w:t>
      </w:r>
    </w:p>
    <w:p w14:paraId="01B8EE93">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3.3 工程条件</w:t>
      </w:r>
    </w:p>
    <w:p w14:paraId="0D30A1E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额定电压：10.5kV</w:t>
      </w:r>
    </w:p>
    <w:p w14:paraId="733D14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系统最高电压：12kV</w:t>
      </w:r>
    </w:p>
    <w:p w14:paraId="76B523C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系统额定频率：50Hz</w:t>
      </w:r>
    </w:p>
    <w:p w14:paraId="05EA4D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系统中性点接地方式：经消弧线圈接地（10kV侧不接地系统）</w:t>
      </w:r>
    </w:p>
    <w:p w14:paraId="2C197AA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主变低压侧电流变比：以招标图为准</w:t>
      </w:r>
    </w:p>
    <w:p w14:paraId="2A4AB2A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主变二次绕组接线方式及组别：角形接线（D,y11）</w:t>
      </w:r>
    </w:p>
    <w:p w14:paraId="2AF3493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母线运行方式：本期单母线，终期单母线分段</w:t>
      </w:r>
    </w:p>
    <w:p w14:paraId="46A1F233">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3.4 安装地点</w:t>
      </w:r>
    </w:p>
    <w:p w14:paraId="59F44C7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SVG户外箱式安装。</w:t>
      </w:r>
    </w:p>
    <w:p w14:paraId="23FA8D6F">
      <w:pPr>
        <w:rPr>
          <w:rFonts w:hint="eastAsia" w:ascii="仿宋_GB2312" w:hAnsi="仿宋_GB2312" w:eastAsia="仿宋_GB2312" w:cs="仿宋_GB2312"/>
          <w:b/>
          <w:bCs/>
          <w:sz w:val="32"/>
          <w:szCs w:val="32"/>
        </w:rPr>
      </w:pPr>
    </w:p>
    <w:p w14:paraId="181B1CB1">
      <w:pPr>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rPr>
        <w:t>四、技术规范书</w:t>
      </w:r>
    </w:p>
    <w:p w14:paraId="779A20B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4.1 成套补偿装置技术要求</w:t>
      </w:r>
    </w:p>
    <w:p w14:paraId="18E983C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本工程装设单套动态无功补偿装置1套，主要包括一套额定容量±1.5Mvar的以IGBT为核心部分的SVG型静止无功发生器。SVG装置在规定的工作条件和负载条件下运行，并按使用说明书进行安装和维护，预期寿命应不少于2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p>
    <w:p w14:paraId="3D83F62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工程电能质量考核点为SVG所在变电站10kV母线进线端（需由买方为SVG设备提供考核点处PT、CT测量信号），成套装置应满足无功功率、电压调节、功率因数及谐波治理等方面的技术要求，并要求在考核点处达到以下技术指标：</w:t>
      </w:r>
    </w:p>
    <w:p w14:paraId="6AFF678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（1）输出容量：成套装置以10kV侧母线无功功率、电压作为控制目标，在额定电压下，SVG装置额定补偿容量为-1.5Mvar（感性）～+1.5Mvar（容性）无功连续可调。</w:t>
      </w:r>
    </w:p>
    <w:p w14:paraId="228FD1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（2）响应时间：SVG装置可动态跟踪电网电能质量变化，并根据变化情况动态调节无功输出，控制系统响应时间不大于5ms。</w:t>
      </w:r>
    </w:p>
    <w:p w14:paraId="0AF5FF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（3）过载能力：成套装置应具有短时过载能力，输出电流为成套装置额定电流的105%可长期稳定运行。</w:t>
      </w:r>
    </w:p>
    <w:p w14:paraId="38B7050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（4）谐波电压：去除背景谐波电压后，注入系统公共连接点（P.C.C.点）10kV母线的谐波电压总畸变率、奇次谐波电压含有率、偶次谐波电压含有率均满足中华人民共和国国家标准《GB/T 14549－93 电能质量 公用电网谐波》的要求。（投标时须提供官网截图或第三方检测机构出具的检测报告）</w:t>
      </w:r>
    </w:p>
    <w:p w14:paraId="2BB71DD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（5）谐波电流：注入系统公共连接点（P.C.C.点）10kV母线的各次谐波电流满足中华人民共和国国家标准《GB/T 14549－93 电能质量 公用电网谐波》的要求。（投标时须提供官网截图或第三方检测机构出具的检测报告）</w:t>
      </w:r>
    </w:p>
    <w:p w14:paraId="4EE79F9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（6）三相电压不平衡度：去除背景三相电压不平衡后，在电网公共连接点10kV母线的电压不平衡度≤1.3%，满足中华人民共和国国家标准《GB/T 15543-2008 电能质量 三相电压允许不平衡度》的要求。（投标时须提供官网截图或第三方检测机构出具的检测报告）</w:t>
      </w:r>
    </w:p>
    <w:p w14:paraId="52D706D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（7）电压波动：去除背景电压波动后，在电网公共连接点10kV母线的电压波动d%≤2%，满足中华人民共和国国家标准《GB 12326-2008 电能质量 电压波动和闪变》的要求。（投标时须提供官网截图或第三方检测机构出具的检测报告）</w:t>
      </w:r>
    </w:p>
    <w:p w14:paraId="403BBA9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（8）功率因数：当系统有功功率大于0.2MW且补偿容量足够的前提下，考核点10kV母线经补偿后其月平均功率因数大于等于0.95，且不过补偿。</w:t>
      </w:r>
    </w:p>
    <w:p w14:paraId="604C2E4C">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4.2 SVG装置技术要求</w:t>
      </w:r>
    </w:p>
    <w:p w14:paraId="6E39A345">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4.2.1 变流功率部分技术参数</w:t>
      </w:r>
    </w:p>
    <w:p w14:paraId="28843D7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采用知名品牌的全控型器件IGBT，装置主回路元件的选用应留有足够的电流、电压裕度。主要技术参数如下：</w:t>
      </w:r>
    </w:p>
    <w:p w14:paraId="601C1FB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额定容量：±1.5 Mvar</w:t>
      </w:r>
    </w:p>
    <w:p w14:paraId="4BD930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额定电压：10 kV</w:t>
      </w:r>
    </w:p>
    <w:p w14:paraId="5A6CBD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额定电流：</w:t>
      </w:r>
      <w:r>
        <w:rPr>
          <w:rFonts w:hint="eastAsia" w:ascii="仿宋_GB2312" w:hAnsi="仿宋_GB2312" w:eastAsia="仿宋_GB2312" w:cs="仿宋_GB2312"/>
          <w:sz w:val="32"/>
          <w:szCs w:val="32"/>
          <w:lang w:val="en-US" w:eastAsia="zh-CN"/>
        </w:rPr>
        <w:t>87</w:t>
      </w:r>
      <w:r>
        <w:rPr>
          <w:rFonts w:hint="eastAsia" w:ascii="仿宋_GB2312" w:hAnsi="仿宋_GB2312" w:eastAsia="仿宋_GB2312" w:cs="仿宋_GB2312"/>
          <w:sz w:val="32"/>
          <w:szCs w:val="32"/>
        </w:rPr>
        <w:t xml:space="preserve"> A</w:t>
      </w:r>
    </w:p>
    <w:p w14:paraId="52B519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容量调节范围：从额定感性容量到额定容量性容量连续可调</w:t>
      </w:r>
    </w:p>
    <w:p w14:paraId="18C58EE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冷却方式：液冷（户外型）。</w:t>
      </w:r>
    </w:p>
    <w:p w14:paraId="61BC66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平均损耗：&lt;0.8%（额定工况下）</w:t>
      </w:r>
    </w:p>
    <w:p w14:paraId="4B5B35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谐波特性：&lt;3% I&lt;sub&gt;N&lt;/sub&gt;（输出电流总谐波畸变率）</w:t>
      </w:r>
    </w:p>
    <w:p w14:paraId="4F5220F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柜体颜色：RAL 7035</w:t>
      </w:r>
    </w:p>
    <w:p w14:paraId="66A71C1C">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4.2.2 保护和监控系统</w:t>
      </w:r>
    </w:p>
    <w:p w14:paraId="616E5CD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（1）控制屏的外形及组成</w:t>
      </w:r>
    </w:p>
    <w:p w14:paraId="7AA671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控制屏采用柜式结构，柜体选用优质“三防”产品，抗强电磁干扰能力强，必须有国家权威机构出具的电磁兼容试验报告。</w:t>
      </w:r>
    </w:p>
    <w:p w14:paraId="0D7E9EA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控制系统为以DSP或FPGA为核心的全数字控制系统，主要由主控机箱、人机界面等几个主要部分组成。各部分实现以下功能：</w:t>
      </w:r>
    </w:p>
    <w:p w14:paraId="43E7C4A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人机界面：操作与监控系统</w:t>
      </w:r>
    </w:p>
    <w:p w14:paraId="451F3B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主控机箱：全数字化控制器，由各功能板卡组成</w:t>
      </w:r>
    </w:p>
    <w:p w14:paraId="62A7F1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（2）主控制器的基本功能</w:t>
      </w:r>
    </w:p>
    <w:p w14:paraId="1700FFF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成套装置控制系统应可根据系统电压、无功的变化情况，实现脉冲发生和分配功能，自动调节装置无功输出；成套装置具有供值班员使用的参数设置功能，所有设置的内容不受停电和干扰信号的影响。</w:t>
      </w:r>
    </w:p>
    <w:p w14:paraId="21A8D1D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（3）通讯功能</w:t>
      </w:r>
    </w:p>
    <w:p w14:paraId="280CE5D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控制器具有和上位机通讯的标准化接口，同时具备与变电站综合自动化联网的功能（卖方只负责提供SVG的通讯点表，如需与用户原有后台组屏，由买方协调完成）。通讯方式：RS485或以太网，采用Modbus RTU、Modbus TCP或IEC 60870-5-104协议。</w:t>
      </w:r>
    </w:p>
    <w:p w14:paraId="3537EA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（4）显示功能</w:t>
      </w:r>
    </w:p>
    <w:p w14:paraId="0040F89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控制器应采用液晶显示器，具有友好的人机界面。可提供如下功能：</w:t>
      </w:r>
    </w:p>
    <w:p w14:paraId="75907A8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显示10kV侧的电压、电流、功率因数、无功功率、有功功率</w:t>
      </w:r>
    </w:p>
    <w:p w14:paraId="004D5AC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显示SVG装置的输出电流、输出无功功率</w:t>
      </w:r>
    </w:p>
    <w:p w14:paraId="2338486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显示实时每个功率单元状态，如出现故障，相应指示灯灭并提示故障类型</w:t>
      </w:r>
    </w:p>
    <w:p w14:paraId="6C7D20F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显示事件、警告、故障信息</w:t>
      </w:r>
    </w:p>
    <w:p w14:paraId="610624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显示用户操作记录，实现用户权限管理</w:t>
      </w:r>
    </w:p>
    <w:p w14:paraId="41C4603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（5）保护功能</w:t>
      </w:r>
    </w:p>
    <w:p w14:paraId="0226AF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成套装置采用综合保护策略，提高装置可靠性，保护功能包括但不限于：</w:t>
      </w:r>
    </w:p>
    <w:p w14:paraId="382909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装置级保护：电网供电电压欠压/过压保护、SVG系统输出过电流保护、电网供电输入缺相保护、充电接触器故障保护、断路器故障保护、SVG控制器故障保护、充电超时故障保护、风机/水泵故障保护等。</w:t>
      </w:r>
    </w:p>
    <w:p w14:paraId="200466A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功率单元保护：IGBT驱动保护、功率单元直流过压保护、功率单元短路保护、功率单元电压不平衡保护、功率单元状态故障保护、超温保护、上下行光纤断线保护等。</w:t>
      </w:r>
    </w:p>
    <w:p w14:paraId="6B794F4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（6）二次安防与调度数据网配合</w:t>
      </w:r>
    </w:p>
    <w:p w14:paraId="75B1BE5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应提供SVG装置与调度数据网接入的配合方案。如需配置纵向加密认证装置，卖方应负责提供符合国网要求的加密装置（采用国密算法）并完成安装调试，确保与站内远动装置、调度数据网设备联调通过，相关费用包含在合同总价中。</w:t>
      </w:r>
    </w:p>
    <w:p w14:paraId="059EC449">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4.2.3 集装箱/户外箱体技术要求（SVG采用户外箱式安装）</w:t>
      </w:r>
    </w:p>
    <w:p w14:paraId="3FFFCA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集装箱可采用标准普通板车及卡车运输，车板交货。</w:t>
      </w:r>
    </w:p>
    <w:p w14:paraId="20F1D3D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箱体的结构设计满足防雨、雪、防渗漏、防腐蚀、防尘、防小动物进入、防火、防风、防盗等要求，箱体防护等级≥IP54。</w:t>
      </w:r>
    </w:p>
    <w:p w14:paraId="54470F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集装箱主体结构采用波纹板或平钢板焊接，具备足够机械强度。</w:t>
      </w:r>
    </w:p>
    <w:p w14:paraId="2CFD85CB">
      <w:pPr>
        <w:rPr>
          <w:rFonts w:hint="eastAsia" w:ascii="仿宋_GB2312" w:hAnsi="仿宋_GB2312" w:eastAsia="仿宋_GB2312" w:cs="仿宋_GB2312"/>
          <w:sz w:val="32"/>
          <w:szCs w:val="32"/>
        </w:rPr>
      </w:pPr>
    </w:p>
    <w:p w14:paraId="7B5F2D25">
      <w:pPr>
        <w:rPr>
          <w:rFonts w:hint="eastAsia" w:ascii="仿宋_GB2312" w:hAnsi="仿宋_GB2312" w:eastAsia="仿宋_GB2312" w:cs="仿宋_GB2312"/>
          <w:sz w:val="32"/>
          <w:szCs w:val="32"/>
        </w:rPr>
      </w:pPr>
    </w:p>
    <w:p w14:paraId="534FD5B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防腐蚀：集装箱箱体表面处理采用喷砂、去脂、酸洗、底漆、中漆及面漆（聚氨酯面漆）流程，外露材料具有较高防腐性能，满足C4级腐蚀环境要求。</w:t>
      </w:r>
    </w:p>
    <w:p w14:paraId="5D13BFC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防小动物：通风口设有防小动物不锈钢铁丝网封闭，电缆进线侧采用防火泥封堵。</w:t>
      </w:r>
    </w:p>
    <w:p w14:paraId="54D837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防火：箱体内所有设备采用阻燃材料，聚氨酯防火发泡工艺，可防火阻燃及隔热保温。</w:t>
      </w:r>
    </w:p>
    <w:p w14:paraId="094C5A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箱体防护等级及隔热：箱体防护等级IP54，采用隔热绝缘材料制作墙体、门、顶盖和地板，墙板导热系数≤0.03W/(m·K)。</w:t>
      </w:r>
    </w:p>
    <w:p w14:paraId="5D700F4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通风和空调/冷却：采用强制风冷或液冷+风冷散热，保证在当地极端环境温度下（-25℃～+45℃）设备正常运行。液冷系统配置泄漏检测及报警。</w:t>
      </w:r>
    </w:p>
    <w:p w14:paraId="1CACA36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吊装：箱体长度方向每边设有2个起吊板，起吊板上开Φ50圆孔。</w:t>
      </w:r>
    </w:p>
    <w:p w14:paraId="6A8B90E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照明：箱体内设有门控防爆LED照明灯。</w:t>
      </w:r>
    </w:p>
    <w:p w14:paraId="0D7F93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温湿度监测：箱体内设有温度和湿度传感器，实时上传至电力监控系统。</w:t>
      </w:r>
    </w:p>
    <w:p w14:paraId="06F39B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防火防潮封堵：卖方做好舱体所有电缆进出的防火、防潮封堵，保证防护等级≥IP54。</w:t>
      </w:r>
    </w:p>
    <w:p w14:paraId="454A76DF">
      <w:pPr>
        <w:rPr>
          <w:rFonts w:hint="eastAsia" w:ascii="仿宋_GB2312" w:hAnsi="仿宋_GB2312" w:eastAsia="仿宋_GB2312" w:cs="仿宋_GB2312"/>
          <w:sz w:val="32"/>
          <w:szCs w:val="32"/>
        </w:rPr>
      </w:pPr>
    </w:p>
    <w:p w14:paraId="7DA64D11">
      <w:pPr>
        <w:rPr>
          <w:rFonts w:hint="eastAsia" w:ascii="仿宋_GB2312" w:hAnsi="仿宋_GB2312" w:eastAsia="仿宋_GB2312" w:cs="仿宋_GB2312"/>
          <w:sz w:val="32"/>
          <w:szCs w:val="32"/>
        </w:rPr>
      </w:pPr>
    </w:p>
    <w:p w14:paraId="38F756E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电缆沟：箱体底部设置电缆固定支架及电缆夹，满足高压电缆固定要求。</w:t>
      </w:r>
    </w:p>
    <w:p w14:paraId="0F345807">
      <w:pPr>
        <w:rPr>
          <w:rFonts w:hint="eastAsia" w:ascii="华文中宋" w:hAnsi="华文中宋" w:eastAsia="华文中宋" w:cs="华文中宋"/>
          <w:b/>
          <w:bCs/>
          <w:sz w:val="32"/>
          <w:szCs w:val="32"/>
        </w:rPr>
      </w:pPr>
    </w:p>
    <w:p w14:paraId="2F884465">
      <w:pPr>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rPr>
        <w:t>五、包装、运输和贮存</w:t>
      </w:r>
    </w:p>
    <w:p w14:paraId="442EB79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设备制造完成并通过试验后，应及时包装，否则应得到切实的保护，确保其不受污损。其包装应符合铁路、公路和海运部门的有关规定。</w:t>
      </w:r>
    </w:p>
    <w:p w14:paraId="1C3A02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所有部件经妥善包装或装箱后，在运输过程中尚应采取其他防护措施，以免散失损坏或被盗。</w:t>
      </w:r>
    </w:p>
    <w:p w14:paraId="3BED291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包装箱上应有明显的包装储运图示标志，并应标明买方的订货号和发货号。</w:t>
      </w:r>
    </w:p>
    <w:p w14:paraId="01DC3F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各种包装能确保各零部件在运输过程中不致遭到损坏、丢失、变形、受潮和腐蚀。</w:t>
      </w:r>
    </w:p>
    <w:p w14:paraId="4B98AAF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整体产品或分别运输的部件都要适合运输和装载的要求。</w:t>
      </w:r>
    </w:p>
    <w:p w14:paraId="0EB3191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当采用陆运时，设备运到指定现场后，</w:t>
      </w:r>
      <w:r>
        <w:rPr>
          <w:rFonts w:hint="eastAsia" w:ascii="仿宋_GB2312" w:hAnsi="仿宋_GB2312" w:eastAsia="仿宋_GB2312" w:cs="仿宋_GB2312"/>
          <w:sz w:val="32"/>
          <w:szCs w:val="32"/>
          <w:lang w:eastAsia="zh-CN"/>
        </w:rPr>
        <w:t>卖方</w:t>
      </w:r>
      <w:r>
        <w:rPr>
          <w:rFonts w:hint="eastAsia" w:ascii="仿宋_GB2312" w:hAnsi="仿宋_GB2312" w:eastAsia="仿宋_GB2312" w:cs="仿宋_GB2312"/>
          <w:sz w:val="32"/>
          <w:szCs w:val="32"/>
        </w:rPr>
        <w:t>负责卸货运到安全的仓储区或安装现场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按要求存放。</w:t>
      </w:r>
    </w:p>
    <w:p w14:paraId="5FFDEBBD">
      <w:pPr>
        <w:rPr>
          <w:rFonts w:hint="eastAsia" w:ascii="仿宋_GB2312" w:hAnsi="仿宋_GB2312" w:eastAsia="仿宋_GB2312" w:cs="仿宋_GB2312"/>
          <w:sz w:val="32"/>
          <w:szCs w:val="32"/>
        </w:rPr>
      </w:pPr>
    </w:p>
    <w:p w14:paraId="0FF0CCF4">
      <w:pPr>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rPr>
        <w:t>六、技术服务及培训</w:t>
      </w:r>
    </w:p>
    <w:p w14:paraId="37F641DA">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6.1 项目管理</w:t>
      </w:r>
    </w:p>
    <w:p w14:paraId="1ACC5CE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合同签定后，卖方应指定负责本工程的项目经理，负责协调卖方在工程全过程的各项工作，如工程进度、设计制造、图纸文件、包装运输、配合现场安装、调试等。</w:t>
      </w:r>
    </w:p>
    <w:p w14:paraId="4EA677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 现场技术服务</w:t>
      </w:r>
    </w:p>
    <w:p w14:paraId="28C10C5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负责SVG及其配套设备（包括可能所需的隔离开关等部件）的现场安装、接线、调试及所有交接试验，并对安装和运行人员进行现场培训。安装及调试所需专用工具、仪器仪表由卖方自备，相关费用已包含在合同总价中。</w:t>
      </w:r>
    </w:p>
    <w:p w14:paraId="7F278C1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买方负责配合卖方完成现场的协调工作。</w:t>
      </w:r>
    </w:p>
    <w:p w14:paraId="284323D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6.2.1 卖方现场服务人员应具有下列资质：</w:t>
      </w:r>
    </w:p>
    <w:p w14:paraId="096C696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遵守法纪，遵守现场的各项规章和制度</w:t>
      </w:r>
    </w:p>
    <w:p w14:paraId="4EC06BB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有较强的责任感和事业心，按时到位</w:t>
      </w:r>
    </w:p>
    <w:p w14:paraId="262A5F3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了解合同设备的设计，熟悉其结构，有相同或相近机组的现场工作经验，能够正确地进行现场指导</w:t>
      </w:r>
    </w:p>
    <w:p w14:paraId="2F0083F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身体健康，适应现场工作的条件</w:t>
      </w:r>
    </w:p>
    <w:p w14:paraId="555D587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6.2.2 卖方现场服务人员的职责</w:t>
      </w:r>
    </w:p>
    <w:p w14:paraId="33196D1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任务主要包括设备催交、货物的开箱检验（货物开箱检验时必须有卖方人员在现场或者由卖方授权，否则卖方不对设备完整性负责）、设备质量问题的处理、指导安装和调试、参加试运和性能验收试验</w:t>
      </w:r>
    </w:p>
    <w:p w14:paraId="6163E51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在安装和调试前，卖方技术服务人员应向买方技术人员讲解和示范将要进行的程序和方法，对重要工序进行确认和签证</w:t>
      </w:r>
    </w:p>
    <w:p w14:paraId="7327BD1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6.2.3 买方的义务</w:t>
      </w:r>
    </w:p>
    <w:p w14:paraId="08C284B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买方配合卖方现场服务人员的工作，并在生活、交通和通讯上提供方便。</w:t>
      </w:r>
    </w:p>
    <w:p w14:paraId="4F313BB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 培训</w:t>
      </w:r>
    </w:p>
    <w:p w14:paraId="238B9D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使合同设备能正常安装和运行，卖方有责任提供相应的技术培训。培训内容应与工程进度相一致。卖方提供买方工程技术人员、运行操作人员的培训，卖方应保证受训人员应能达到运行和维护手册（规程）的编制以及熟练操作、检修的程度。培训的时间、地点等具体内容由买卖双方商定。</w:t>
      </w:r>
    </w:p>
    <w:p w14:paraId="54CD4E9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 质量保证</w:t>
      </w:r>
    </w:p>
    <w:p w14:paraId="6A60E31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订购的设备除需满足本协议外，供方还应提供该产品的合格证及出厂试验报告，以及具有CMA/CNAS资质的第三方型式试验报告。</w:t>
      </w:r>
    </w:p>
    <w:p w14:paraId="001462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供方应保证制造过程中的所有工艺、材料等（包括供方的外购件在内）均应符合本协议的规定。</w:t>
      </w:r>
    </w:p>
    <w:p w14:paraId="456E950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供方应有遵守本协议中各条款和工作项目的ISO 9001-GB/T 19001质量保证体系，且该质量保证体系已经过国家认证和正常运转。</w:t>
      </w:r>
    </w:p>
    <w:p w14:paraId="0320886A">
      <w:pPr>
        <w:rPr>
          <w:rFonts w:hint="eastAsia" w:ascii="仿宋_GB2312" w:hAnsi="仿宋_GB2312" w:eastAsia="仿宋_GB2312" w:cs="仿宋_GB2312"/>
          <w:sz w:val="32"/>
          <w:szCs w:val="32"/>
        </w:rPr>
      </w:pPr>
    </w:p>
    <w:p w14:paraId="6200A9B2">
      <w:pPr>
        <w:rPr>
          <w:rFonts w:hint="eastAsia" w:ascii="仿宋_GB2312" w:hAnsi="仿宋_GB2312" w:eastAsia="仿宋_GB2312" w:cs="仿宋_GB2312"/>
          <w:sz w:val="32"/>
          <w:szCs w:val="32"/>
        </w:rPr>
      </w:pPr>
    </w:p>
    <w:p w14:paraId="036C6645">
      <w:pPr>
        <w:jc w:val="center"/>
        <w:rPr>
          <w:rFonts w:hint="eastAsia" w:ascii="华文中宋" w:hAnsi="华文中宋" w:eastAsia="华文中宋" w:cs="华文中宋"/>
          <w:sz w:val="32"/>
          <w:szCs w:val="32"/>
        </w:rPr>
      </w:pPr>
      <w:r>
        <w:rPr>
          <w:rFonts w:hint="eastAsia" w:ascii="华文中宋" w:hAnsi="华文中宋" w:eastAsia="华文中宋" w:cs="华文中宋"/>
          <w:sz w:val="32"/>
          <w:szCs w:val="32"/>
        </w:rPr>
        <w:t>第二章 供货范围</w:t>
      </w:r>
    </w:p>
    <w:p w14:paraId="5785169A">
      <w:pPr>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一、供货范围</w:t>
      </w:r>
    </w:p>
    <w:p w14:paraId="307E076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卖方提供1套完整的±1.5Mvar 10kV SVG成套装置，包括但不限于以下内容：</w:t>
      </w:r>
    </w:p>
    <w:p w14:paraId="6ABEB7C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SVG功率柜（含IGBT、电容、电抗、控制板等）：1套，10kV/±1.5Mvar，液冷型（或同等性能风冷型）</w:t>
      </w:r>
    </w:p>
    <w:p w14:paraId="11C423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启动柜（含充电接触器、断路器、进线电抗器等）：1套，适配1.5Mvar</w:t>
      </w:r>
    </w:p>
    <w:p w14:paraId="5E4AC7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控制柜（含主控制器、HMI、通讯接口）：1套</w:t>
      </w:r>
    </w:p>
    <w:p w14:paraId="07C6A60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液冷散热系统（含水泵、散热器、风扇、管路）：1套，户外型，满足1.5Mvar散热</w:t>
      </w:r>
    </w:p>
    <w:p w14:paraId="0EECBF4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户外集装箱/箱体：1座，IP54，RAL7035，含照明、温湿度传感器</w:t>
      </w:r>
    </w:p>
    <w:p w14:paraId="78703F6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连接电缆及附件：卖方提供内部连接电缆1套</w:t>
      </w:r>
    </w:p>
    <w:p w14:paraId="438F8D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备品备件及专用工具：按卖方推荐清单1套，具体以合同约定为准</w:t>
      </w:r>
    </w:p>
    <w:p w14:paraId="1AF14985">
      <w:pPr>
        <w:rPr>
          <w:rFonts w:hint="eastAsia" w:ascii="仿宋_GB2312" w:hAnsi="仿宋_GB2312" w:eastAsia="仿宋_GB2312" w:cs="仿宋_GB2312"/>
          <w:sz w:val="32"/>
          <w:szCs w:val="32"/>
        </w:rPr>
      </w:pPr>
    </w:p>
    <w:p w14:paraId="08BEDF2D">
      <w:pPr>
        <w:rPr>
          <w:rFonts w:hint="eastAsia" w:ascii="华文中宋" w:hAnsi="华文中宋" w:eastAsia="华文中宋" w:cs="华文中宋"/>
          <w:sz w:val="32"/>
          <w:szCs w:val="32"/>
          <w:lang w:eastAsia="zh-CN"/>
        </w:rPr>
      </w:pPr>
      <w:r>
        <w:rPr>
          <w:rFonts w:hint="eastAsia" w:ascii="华文中宋" w:hAnsi="华文中宋" w:eastAsia="华文中宋" w:cs="华文中宋"/>
          <w:sz w:val="32"/>
          <w:szCs w:val="32"/>
        </w:rPr>
        <w:t>二、</w:t>
      </w:r>
      <w:r>
        <w:rPr>
          <w:rFonts w:hint="eastAsia" w:ascii="华文中宋" w:hAnsi="华文中宋" w:eastAsia="华文中宋" w:cs="华文中宋"/>
          <w:sz w:val="32"/>
          <w:szCs w:val="32"/>
          <w:lang w:eastAsia="zh-CN"/>
        </w:rPr>
        <w:t>卖方提供的其他内容</w:t>
      </w:r>
    </w:p>
    <w:p w14:paraId="2A1F644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卖方负责提供SVG成套装置本体及内部所有连接电缆、通讯线缆、光纤等。</w:t>
      </w:r>
    </w:p>
    <w:p w14:paraId="2297319D">
      <w:pPr>
        <w:rPr>
          <w:rFonts w:hint="eastAsia" w:ascii="仿宋_GB2312" w:hAnsi="仿宋_GB2312" w:eastAsia="仿宋_GB2312" w:cs="仿宋_GB2312"/>
          <w:sz w:val="32"/>
          <w:szCs w:val="32"/>
        </w:rPr>
      </w:pPr>
    </w:p>
    <w:p w14:paraId="31A4E096">
      <w:pPr>
        <w:rPr>
          <w:rFonts w:hint="eastAsia" w:ascii="仿宋_GB2312" w:hAnsi="仿宋_GB2312" w:eastAsia="仿宋_GB2312" w:cs="仿宋_GB2312"/>
          <w:sz w:val="32"/>
          <w:szCs w:val="32"/>
        </w:rPr>
      </w:pPr>
    </w:p>
    <w:p w14:paraId="5EC9577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卖方负责提供SVG装置的10kV进线电缆、控制电源电缆（AC/DC 220V）以及考核点处PT、CT二次信号电缆，并负责将上述电缆接至SVG集装箱的指定接线端子排。</w:t>
      </w:r>
    </w:p>
    <w:p w14:paraId="2ED6523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卖方负责提供SVG与站控系统的通讯接口点表及调试配合。</w:t>
      </w:r>
    </w:p>
    <w:p w14:paraId="44B0E21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卖方负责提供集装箱基础的土建条件图，</w:t>
      </w:r>
      <w:r>
        <w:rPr>
          <w:rFonts w:hint="eastAsia" w:ascii="仿宋_GB2312" w:hAnsi="仿宋_GB2312" w:eastAsia="仿宋_GB2312" w:cs="仿宋_GB2312"/>
          <w:sz w:val="32"/>
          <w:szCs w:val="32"/>
          <w:lang w:eastAsia="zh-CN"/>
        </w:rPr>
        <w:t>承包方</w:t>
      </w:r>
      <w:r>
        <w:rPr>
          <w:rFonts w:hint="eastAsia" w:ascii="仿宋_GB2312" w:hAnsi="仿宋_GB2312" w:eastAsia="仿宋_GB2312" w:cs="仿宋_GB2312"/>
          <w:sz w:val="32"/>
          <w:szCs w:val="32"/>
        </w:rPr>
        <w:t>负责基础施工。</w:t>
      </w:r>
    </w:p>
    <w:p w14:paraId="02ACAC4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卖方负责SVG装置与调度数据网纵向加密装置的配合安装及联调，相关费用包含在合同总价中。</w:t>
      </w:r>
    </w:p>
    <w:p w14:paraId="13F7B5F6">
      <w:pPr>
        <w:rPr>
          <w:rFonts w:hint="eastAsia" w:ascii="仿宋_GB2312" w:hAnsi="仿宋_GB2312" w:eastAsia="仿宋_GB2312" w:cs="仿宋_GB2312"/>
          <w:sz w:val="32"/>
          <w:szCs w:val="32"/>
        </w:rPr>
      </w:pPr>
    </w:p>
    <w:p w14:paraId="060FFA49">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三、买方需提供的现场条件</w:t>
      </w:r>
    </w:p>
    <w:p w14:paraId="0AFDE4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提供满足SVG装置额定容量的10kV电源接入点（含开关柜、保护装置）。</w:t>
      </w:r>
    </w:p>
    <w:p w14:paraId="5FBED3A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提供考核点处（10kV母线）的PT、CT二次测量信号（电压100V，电流5A或1A）。</w:t>
      </w:r>
    </w:p>
    <w:p w14:paraId="4D7410B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提供AC/DC 220V±15%控制电源，容量≥5kVA。</w:t>
      </w:r>
    </w:p>
    <w:p w14:paraId="576DAE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提供设备安装场地及满足吊装要求的通道。</w:t>
      </w:r>
    </w:p>
    <w:p w14:paraId="38D7F95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提供设备所需的接地网（接地电阻≤4Ω）。</w:t>
      </w:r>
    </w:p>
    <w:p w14:paraId="1736F766">
      <w:pPr>
        <w:rPr>
          <w:rFonts w:hint="eastAsia" w:ascii="仿宋_GB2312" w:hAnsi="仿宋_GB2312" w:eastAsia="仿宋_GB2312" w:cs="仿宋_GB2312"/>
          <w:sz w:val="32"/>
          <w:szCs w:val="32"/>
        </w:rPr>
      </w:pPr>
    </w:p>
    <w:p w14:paraId="175153FB">
      <w:pPr>
        <w:jc w:val="center"/>
        <w:rPr>
          <w:rFonts w:hint="eastAsia" w:ascii="华文中宋" w:hAnsi="华文中宋" w:eastAsia="华文中宋" w:cs="华文中宋"/>
          <w:sz w:val="32"/>
          <w:szCs w:val="32"/>
        </w:rPr>
      </w:pPr>
      <w:r>
        <w:rPr>
          <w:rFonts w:hint="eastAsia" w:ascii="华文中宋" w:hAnsi="华文中宋" w:eastAsia="华文中宋" w:cs="华文中宋"/>
          <w:sz w:val="32"/>
          <w:szCs w:val="32"/>
        </w:rPr>
        <w:t>第三章 设备、技术资料交付进度</w:t>
      </w:r>
    </w:p>
    <w:p w14:paraId="501E49E6">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一、技术资料</w:t>
      </w:r>
    </w:p>
    <w:p w14:paraId="5BB3376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卖方应在合同签订后规定时间内向买方提供以下技术资料（纸质版及电子版）：</w:t>
      </w:r>
    </w:p>
    <w:p w14:paraId="5B1C447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外形尺寸图、基础安装图、电气原理图</w:t>
      </w:r>
    </w:p>
    <w:p w14:paraId="4E7A454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使用说明书、维护手册：合同签订后30天交付</w:t>
      </w:r>
    </w:p>
    <w:p w14:paraId="3458525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出厂试验报告、型式试验报告：随货提供</w:t>
      </w:r>
    </w:p>
    <w:p w14:paraId="699531BA">
      <w:pPr>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第三方检测报告（电能质量符合性官网截图或检测报告）通讯协议点表：</w:t>
      </w:r>
    </w:p>
    <w:p w14:paraId="039937D8">
      <w:pPr>
        <w:rPr>
          <w:rFonts w:hint="eastAsia" w:ascii="仿宋_GB2312" w:hAnsi="仿宋_GB2312" w:eastAsia="仿宋_GB2312" w:cs="仿宋_GB2312"/>
          <w:sz w:val="32"/>
          <w:szCs w:val="32"/>
        </w:rPr>
      </w:pPr>
    </w:p>
    <w:p w14:paraId="265B7848">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二、设备交货进度</w:t>
      </w:r>
    </w:p>
    <w:p w14:paraId="774287F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设备交货进度按合同约定执行。</w:t>
      </w:r>
    </w:p>
    <w:p w14:paraId="647BF6AC">
      <w:pPr>
        <w:rPr>
          <w:rFonts w:hint="eastAsia" w:ascii="仿宋_GB2312" w:hAnsi="仿宋_GB2312" w:eastAsia="仿宋_GB2312" w:cs="仿宋_GB2312"/>
          <w:sz w:val="32"/>
          <w:szCs w:val="32"/>
        </w:rPr>
      </w:pPr>
    </w:p>
    <w:p w14:paraId="697164F5">
      <w:pPr>
        <w:jc w:val="center"/>
        <w:rPr>
          <w:rFonts w:hint="eastAsia" w:ascii="华文中宋" w:hAnsi="华文中宋" w:eastAsia="华文中宋" w:cs="华文中宋"/>
          <w:b w:val="0"/>
          <w:bCs w:val="0"/>
          <w:sz w:val="32"/>
          <w:szCs w:val="32"/>
        </w:rPr>
      </w:pPr>
      <w:r>
        <w:rPr>
          <w:rFonts w:hint="eastAsia" w:ascii="华文中宋" w:hAnsi="华文中宋" w:eastAsia="华文中宋" w:cs="华文中宋"/>
          <w:b w:val="0"/>
          <w:bCs w:val="0"/>
          <w:sz w:val="32"/>
          <w:szCs w:val="32"/>
        </w:rPr>
        <w:t>第四章 设备监造（检验）和性能验收试验</w:t>
      </w:r>
    </w:p>
    <w:p w14:paraId="1284886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一、概述</w:t>
      </w:r>
    </w:p>
    <w:p w14:paraId="098EB5B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卖方应在合同生效后10天内向买方提供本合同设备的设计、制造和检验标准的目录。</w:t>
      </w:r>
    </w:p>
    <w:p w14:paraId="54F6179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买方有权派代表赴卖方生产现场对设备质量进行监造和检验，卖方应积极配合。</w:t>
      </w:r>
    </w:p>
    <w:p w14:paraId="7B29F0A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二、检验和监造</w:t>
      </w:r>
    </w:p>
    <w:p w14:paraId="543AB4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卖方应在设备出厂前15天通知买方进行出厂检验（或监造），买方可根据情况决定是否派员参加。</w:t>
      </w:r>
    </w:p>
    <w:p w14:paraId="7EEBBC3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监造范围：功率单元组装、整机调试、温升试验、绝缘试验、容量输出试验等。</w:t>
      </w:r>
    </w:p>
    <w:p w14:paraId="358E608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卖方应提供监造所需的试验记录和报告。</w:t>
      </w:r>
    </w:p>
    <w:p w14:paraId="57E870B2">
      <w:pPr>
        <w:rPr>
          <w:rFonts w:hint="eastAsia" w:ascii="仿宋_GB2312" w:hAnsi="仿宋_GB2312" w:eastAsia="仿宋_GB2312" w:cs="仿宋_GB2312"/>
          <w:sz w:val="32"/>
          <w:szCs w:val="32"/>
        </w:rPr>
      </w:pPr>
    </w:p>
    <w:p w14:paraId="1F76DF4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三、试验</w:t>
      </w:r>
    </w:p>
    <w:p w14:paraId="0BF2EB9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型式试验</w:t>
      </w:r>
    </w:p>
    <w:p w14:paraId="729FE24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卖方应提供由国家认可的第三方检测机构出具的SVG装置型式试验报告，至少包括：</w:t>
      </w:r>
    </w:p>
    <w:p w14:paraId="3076934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绝缘耐压试验（工频42kV/1min，雷电冲击75kV）</w:t>
      </w:r>
    </w:p>
    <w:p w14:paraId="25F3A0E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容量输出试验（±1.5Mvar连续可调验证）</w:t>
      </w:r>
    </w:p>
    <w:p w14:paraId="01EAD3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响应时间测试（≤5ms）</w:t>
      </w:r>
    </w:p>
    <w:p w14:paraId="088A50C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谐波特性测试（THDi &lt; 3%）</w:t>
      </w:r>
    </w:p>
    <w:p w14:paraId="73EBDD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损耗测试（平均损耗 &lt; 0.8%）</w:t>
      </w:r>
    </w:p>
    <w:p w14:paraId="1853D94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过载能力测试（105%额定电流长期运行）</w:t>
      </w:r>
    </w:p>
    <w:p w14:paraId="4AE7CC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保护功能测试</w:t>
      </w:r>
    </w:p>
    <w:p w14:paraId="735ABB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电磁兼容（EMC）试验</w:t>
      </w:r>
    </w:p>
    <w:p w14:paraId="6245E1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出厂试验</w:t>
      </w:r>
    </w:p>
    <w:p w14:paraId="32FF31F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每台装置出厂前应进行出厂试验，并出具报告，包括：</w:t>
      </w:r>
    </w:p>
    <w:p w14:paraId="64EF60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外观及结构检查</w:t>
      </w:r>
    </w:p>
    <w:p w14:paraId="52E0C18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绝缘电阻及耐压试验</w:t>
      </w:r>
    </w:p>
    <w:p w14:paraId="6980B00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控制功能试验</w:t>
      </w:r>
    </w:p>
    <w:p w14:paraId="5C7D0B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通讯功能试验</w:t>
      </w:r>
    </w:p>
    <w:p w14:paraId="02FC016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冷却系统功能试验</w:t>
      </w:r>
    </w:p>
    <w:p w14:paraId="4922311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现场验收试验</w:t>
      </w:r>
    </w:p>
    <w:p w14:paraId="7828C2C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装置安装完成后，由买方、卖方及监理共同进行现场验收试验，验证：</w:t>
      </w:r>
    </w:p>
    <w:p w14:paraId="521BE6F9">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无功输出范围（-1.5～+1.5Mvar）</w:t>
      </w:r>
    </w:p>
    <w:p w14:paraId="0AD9AB4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响应时间（≤5ms）</w:t>
      </w:r>
    </w:p>
    <w:p w14:paraId="73DD7B3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谐波、不平衡度、电压波动等电能质量指标是否符合国标要求（必要时由第三方检测）</w:t>
      </w:r>
    </w:p>
    <w:p w14:paraId="1FD36C0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功率因数补偿效果（≥0.95，不过补）</w:t>
      </w:r>
    </w:p>
    <w:p w14:paraId="67CDD11A">
      <w:pPr>
        <w:keepNext w:val="0"/>
        <w:keepLines w:val="0"/>
        <w:widowControl/>
        <w:suppressLineNumbers w:val="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4、设备定制生产完成后，卖方须委托具备CMA/CNAS资质的第三方检测机构开展专属出厂检测及型式复核，出具本项目专属检测报告，相关费用已包含在合同总价中。</w:t>
      </w:r>
    </w:p>
    <w:p w14:paraId="118B17FD">
      <w:pPr>
        <w:ind w:firstLine="640" w:firstLineChars="200"/>
        <w:rPr>
          <w:rFonts w:hint="eastAsia" w:ascii="仿宋_GB2312" w:hAnsi="仿宋_GB2312" w:eastAsia="仿宋_GB2312" w:cs="仿宋_GB2312"/>
          <w:sz w:val="32"/>
          <w:szCs w:val="32"/>
          <w:lang w:val="en-US" w:eastAsia="zh-CN"/>
        </w:rPr>
      </w:pPr>
    </w:p>
    <w:p w14:paraId="7405DE72">
      <w:pP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四、质保期</w:t>
      </w:r>
    </w:p>
    <w:p w14:paraId="25A9E4E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设备质保期以商务合同为准，自现场验收合格之日起计算，质保期内因制造质量问题导致的故障，卖方免费维修或更换。</w:t>
      </w:r>
    </w:p>
    <w:p w14:paraId="69D96F5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SVG装置整机设计寿命不少于2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p>
    <w:p w14:paraId="650D83B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质保期满后，卖方仍应长期提供技术支持和备品备件供应。</w:t>
      </w:r>
    </w:p>
    <w:p w14:paraId="6BAE55AB">
      <w:pPr>
        <w:rPr>
          <w:rFonts w:hint="eastAsia" w:ascii="仿宋_GB2312" w:hAnsi="仿宋_GB2312" w:eastAsia="仿宋_GB2312" w:cs="仿宋_GB2312"/>
          <w:sz w:val="32"/>
          <w:szCs w:val="32"/>
        </w:rPr>
      </w:pPr>
    </w:p>
    <w:p w14:paraId="4A494094">
      <w:pPr>
        <w:rPr>
          <w:rFonts w:hint="eastAsia" w:ascii="仿宋_GB2312" w:hAnsi="仿宋_GB2312" w:eastAsia="仿宋_GB2312" w:cs="仿宋_GB2312"/>
          <w:sz w:val="32"/>
          <w:szCs w:val="32"/>
        </w:rPr>
      </w:pPr>
    </w:p>
    <w:p w14:paraId="1AAD0682">
      <w:pPr>
        <w:rPr>
          <w:rFonts w:hint="eastAsia" w:ascii="仿宋_GB2312" w:hAnsi="仿宋_GB2312" w:eastAsia="仿宋_GB2312" w:cs="仿宋_GB2312"/>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D26F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0FE149">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4F0FE14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F7AB3"/>
    <w:rsid w:val="19D3749C"/>
    <w:rsid w:val="77FF6AE3"/>
    <w:rsid w:val="7BE79E6C"/>
    <w:rsid w:val="7DFF7AB3"/>
    <w:rsid w:val="BE5B95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6588</Words>
  <Characters>7449</Characters>
  <Lines>0</Lines>
  <Paragraphs>0</Paragraphs>
  <TotalTime>49</TotalTime>
  <ScaleCrop>false</ScaleCrop>
  <LinksUpToDate>false</LinksUpToDate>
  <CharactersWithSpaces>7539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2026-06-03T01:34:00Z</dcterms:created>
  <dc:creator>greatwall</dc:creator>
  <cp:lastModifiedBy>NTKO</cp:lastModifiedBy>
  <dcterms:modified xsi:type="dcterms:W3CDTF">2026-06-02T07:20:29Z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B0F554F8F38E40C4AA22BAC0C50BE223_13</vt:lpwstr>
  </property>
</Properties>
</file>