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20C18C">
      <w:pPr>
        <w:jc w:val="center"/>
        <w:rPr>
          <w:rFonts w:hint="eastAsia" w:ascii="华文中宋" w:hAnsi="华文中宋" w:eastAsia="华文中宋" w:cs="华文中宋"/>
          <w:sz w:val="52"/>
          <w:szCs w:val="52"/>
        </w:rPr>
      </w:pPr>
      <w:bookmarkStart w:id="0" w:name="_GoBack"/>
      <w:bookmarkEnd w:id="0"/>
      <w:r>
        <w:rPr>
          <w:rFonts w:hint="eastAsia" w:ascii="宋体" w:hAnsi="宋体"/>
          <w:b/>
          <w:sz w:val="52"/>
          <w:szCs w:val="52"/>
        </w:rPr>
        <w:t>10kV</w:t>
      </w:r>
      <w:r>
        <w:rPr>
          <w:rFonts w:hint="eastAsia" w:ascii="华文中宋" w:hAnsi="华文中宋" w:eastAsia="华文中宋" w:cs="华文中宋"/>
          <w:sz w:val="52"/>
          <w:szCs w:val="52"/>
        </w:rPr>
        <w:t>组合型成套箱式变电站技术</w:t>
      </w:r>
    </w:p>
    <w:p w14:paraId="4637D6B7">
      <w:pPr>
        <w:jc w:val="center"/>
        <w:rPr>
          <w:rFonts w:hint="eastAsia" w:ascii="华文中宋" w:hAnsi="华文中宋" w:eastAsia="华文中宋" w:cs="华文中宋"/>
          <w:sz w:val="52"/>
          <w:szCs w:val="52"/>
        </w:rPr>
      </w:pPr>
      <w:r>
        <w:rPr>
          <w:rFonts w:hint="eastAsia" w:ascii="华文中宋" w:hAnsi="华文中宋" w:eastAsia="华文中宋" w:cs="华文中宋"/>
          <w:sz w:val="52"/>
          <w:szCs w:val="52"/>
        </w:rPr>
        <w:t>规范书</w:t>
      </w:r>
    </w:p>
    <w:p w14:paraId="287146A2">
      <w:pPr>
        <w:ind w:firstLine="0" w:firstLineChars="0"/>
        <w:jc w:val="center"/>
        <w:rPr>
          <w:rFonts w:hint="default" w:ascii="宋体" w:hAnsi="宋体" w:eastAsia="宋体"/>
          <w:b/>
          <w:sz w:val="52"/>
          <w:szCs w:val="52"/>
          <w:lang w:val="en-US" w:eastAsia="zh-CN"/>
        </w:rPr>
      </w:pPr>
    </w:p>
    <w:p w14:paraId="2FF98E0F">
      <w:pPr>
        <w:ind w:firstLine="3080" w:firstLineChars="700"/>
        <w:rPr>
          <w:rFonts w:hint="eastAsia" w:ascii="宋体" w:hAnsi="宋体"/>
          <w:sz w:val="44"/>
          <w:szCs w:val="44"/>
        </w:rPr>
      </w:pPr>
    </w:p>
    <w:p w14:paraId="2D35AC4E">
      <w:pPr>
        <w:ind w:firstLine="640"/>
        <w:jc w:val="center"/>
        <w:rPr>
          <w:rFonts w:hint="eastAsia" w:ascii="宋体" w:hAnsi="宋体"/>
          <w:sz w:val="32"/>
          <w:szCs w:val="32"/>
        </w:rPr>
      </w:pPr>
    </w:p>
    <w:p w14:paraId="0C9E7260">
      <w:pPr>
        <w:ind w:firstLine="640"/>
        <w:jc w:val="center"/>
        <w:rPr>
          <w:rFonts w:hint="eastAsia" w:ascii="宋体" w:hAnsi="宋体"/>
          <w:sz w:val="32"/>
          <w:szCs w:val="32"/>
        </w:rPr>
      </w:pPr>
    </w:p>
    <w:p w14:paraId="20428448">
      <w:pPr>
        <w:ind w:firstLine="640"/>
        <w:jc w:val="center"/>
        <w:rPr>
          <w:rFonts w:hint="eastAsia" w:ascii="宋体" w:hAnsi="宋体"/>
          <w:sz w:val="32"/>
          <w:szCs w:val="32"/>
        </w:rPr>
      </w:pPr>
    </w:p>
    <w:p w14:paraId="77C27285">
      <w:pPr>
        <w:ind w:firstLine="640"/>
        <w:jc w:val="center"/>
        <w:rPr>
          <w:rFonts w:hint="eastAsia" w:ascii="宋体" w:hAnsi="宋体"/>
          <w:sz w:val="32"/>
          <w:szCs w:val="32"/>
        </w:rPr>
      </w:pPr>
    </w:p>
    <w:p w14:paraId="4525B1A4">
      <w:pPr>
        <w:ind w:firstLine="640"/>
        <w:jc w:val="center"/>
        <w:rPr>
          <w:rFonts w:hint="eastAsia" w:ascii="宋体" w:hAnsi="宋体"/>
          <w:sz w:val="32"/>
          <w:szCs w:val="32"/>
        </w:rPr>
      </w:pPr>
    </w:p>
    <w:p w14:paraId="1542938A">
      <w:pPr>
        <w:ind w:firstLine="640"/>
        <w:jc w:val="center"/>
        <w:rPr>
          <w:rFonts w:hint="eastAsia" w:ascii="宋体" w:hAnsi="宋体"/>
          <w:sz w:val="32"/>
          <w:szCs w:val="32"/>
        </w:rPr>
      </w:pPr>
    </w:p>
    <w:p w14:paraId="027E5528">
      <w:pPr>
        <w:ind w:firstLine="640"/>
        <w:jc w:val="center"/>
        <w:rPr>
          <w:rFonts w:hint="eastAsia" w:ascii="宋体" w:hAnsi="宋体"/>
          <w:sz w:val="32"/>
          <w:szCs w:val="32"/>
        </w:rPr>
      </w:pPr>
    </w:p>
    <w:p w14:paraId="229ECB5B">
      <w:pPr>
        <w:ind w:firstLine="640"/>
        <w:jc w:val="center"/>
        <w:rPr>
          <w:rFonts w:hint="eastAsia" w:ascii="宋体" w:hAnsi="宋体"/>
          <w:sz w:val="32"/>
          <w:szCs w:val="32"/>
        </w:rPr>
      </w:pPr>
    </w:p>
    <w:p w14:paraId="54D5BEB9">
      <w:pPr>
        <w:ind w:firstLine="0" w:firstLineChars="0"/>
        <w:rPr>
          <w:rFonts w:hint="eastAsia" w:ascii="宋体" w:hAnsi="宋体"/>
          <w:sz w:val="32"/>
          <w:szCs w:val="32"/>
        </w:rPr>
      </w:pPr>
    </w:p>
    <w:p w14:paraId="596A49E6">
      <w:pPr>
        <w:ind w:firstLine="0" w:firstLineChars="0"/>
        <w:rPr>
          <w:rFonts w:hint="eastAsia" w:ascii="宋体" w:hAnsi="宋体"/>
          <w:sz w:val="32"/>
          <w:szCs w:val="32"/>
        </w:rPr>
      </w:pPr>
    </w:p>
    <w:p w14:paraId="1692EC78">
      <w:pPr>
        <w:ind w:firstLine="0" w:firstLineChars="0"/>
        <w:jc w:val="center"/>
        <w:rPr>
          <w:rFonts w:ascii="宋体" w:hAnsi="宋体"/>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docGrid w:type="lines" w:linePitch="312" w:charSpace="0"/>
        </w:sectPr>
      </w:pPr>
      <w:r>
        <w:rPr>
          <w:rFonts w:hint="eastAsia" w:ascii="微软雅黑" w:hAnsi="微软雅黑" w:eastAsia="微软雅黑"/>
          <w:b/>
          <w:bCs/>
          <w:color w:val="000000"/>
          <w:kern w:val="0"/>
          <w:sz w:val="32"/>
          <w:szCs w:val="32"/>
          <w:lang w:bidi="en-US"/>
        </w:rPr>
        <w:t>202</w:t>
      </w:r>
      <w:r>
        <w:rPr>
          <w:rFonts w:hint="eastAsia" w:ascii="微软雅黑" w:hAnsi="微软雅黑" w:eastAsia="微软雅黑"/>
          <w:b/>
          <w:bCs/>
          <w:color w:val="000000"/>
          <w:kern w:val="0"/>
          <w:sz w:val="32"/>
          <w:szCs w:val="32"/>
          <w:lang w:val="en-US" w:eastAsia="zh-CN" w:bidi="en-US"/>
        </w:rPr>
        <w:t>6</w:t>
      </w:r>
      <w:r>
        <w:rPr>
          <w:rFonts w:hint="eastAsia" w:ascii="微软雅黑" w:hAnsi="微软雅黑" w:eastAsia="微软雅黑"/>
          <w:b/>
          <w:bCs/>
          <w:color w:val="000000"/>
          <w:kern w:val="0"/>
          <w:sz w:val="32"/>
          <w:szCs w:val="32"/>
          <w:lang w:bidi="en-US"/>
        </w:rPr>
        <w:t>年</w:t>
      </w:r>
      <w:r>
        <w:rPr>
          <w:rFonts w:hint="eastAsia" w:ascii="微软雅黑" w:hAnsi="微软雅黑" w:eastAsia="微软雅黑"/>
          <w:b/>
          <w:bCs/>
          <w:color w:val="000000"/>
          <w:kern w:val="0"/>
          <w:sz w:val="32"/>
          <w:szCs w:val="32"/>
          <w:lang w:val="en-US" w:eastAsia="zh-CN" w:bidi="en-US"/>
        </w:rPr>
        <w:t>5</w:t>
      </w:r>
      <w:r>
        <w:rPr>
          <w:rFonts w:hint="eastAsia" w:ascii="微软雅黑" w:hAnsi="微软雅黑" w:eastAsia="微软雅黑"/>
          <w:b/>
          <w:bCs/>
          <w:color w:val="000000"/>
          <w:kern w:val="0"/>
          <w:sz w:val="32"/>
          <w:szCs w:val="32"/>
          <w:lang w:bidi="en-US"/>
        </w:rPr>
        <w:t>月</w:t>
      </w:r>
    </w:p>
    <w:p w14:paraId="33ED004D">
      <w:pPr>
        <w:rPr>
          <w:rFonts w:hint="eastAsia" w:ascii="华文中宋" w:hAnsi="华文中宋" w:eastAsia="华文中宋" w:cs="华文中宋"/>
          <w:sz w:val="44"/>
          <w:szCs w:val="44"/>
        </w:rPr>
      </w:pPr>
      <w:r>
        <w:rPr>
          <w:rFonts w:hint="eastAsia" w:ascii="华文中宋" w:hAnsi="华文中宋" w:eastAsia="华文中宋" w:cs="华文中宋"/>
          <w:b/>
          <w:sz w:val="44"/>
          <w:szCs w:val="44"/>
        </w:rPr>
        <w:t>10kV</w:t>
      </w:r>
      <w:r>
        <w:rPr>
          <w:rFonts w:hint="eastAsia" w:ascii="华文中宋" w:hAnsi="华文中宋" w:eastAsia="华文中宋" w:cs="华文中宋"/>
          <w:sz w:val="44"/>
          <w:szCs w:val="44"/>
        </w:rPr>
        <w:t>组合型成套箱式变电站技术规范书</w:t>
      </w:r>
    </w:p>
    <w:p w14:paraId="5DD5A365">
      <w:pPr>
        <w:rPr>
          <w:rFonts w:hint="eastAsia" w:ascii="仿宋_GB2312" w:hAnsi="仿宋_GB2312" w:eastAsia="仿宋_GB2312" w:cs="仿宋_GB2312"/>
          <w:sz w:val="32"/>
          <w:szCs w:val="32"/>
        </w:rPr>
      </w:pPr>
    </w:p>
    <w:p w14:paraId="6B3D8B3F">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总则</w:t>
      </w:r>
    </w:p>
    <w:p w14:paraId="4F5C06C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本技术规范书适用于光伏发电项目工程用组合型成套箱式变电站（以下简称“箱变”），提出了箱变本体及附属设备的功能设计、结构、性能、安装和试验等方面的技术要求。</w:t>
      </w:r>
    </w:p>
    <w:p w14:paraId="092F738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本规范书提出的是最低限度的技术要求，并未对一切技术细节做出规定，也未充分引述有关标准和规范的条文。卖方应保证提供符合工业标准和本规范书要求、功能完整、性能优良的优质产品及其相应服务。同时必须满足国家有关安全、环保等强制性标准和规范的要求。</w:t>
      </w:r>
    </w:p>
    <w:p w14:paraId="50AA381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 卖方提供的主设备、附件、备品备件、外部油漆等材质必须满足本工程所处地理位置、环境条件（高温、高湿、盐雾、台风影响等）的要求。所有设备必须保证能在项目现场长期、安全、可靠地运行。</w:t>
      </w:r>
    </w:p>
    <w:p w14:paraId="42D6BE0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 合同签订后，卖方应按本规范书要求，提出合同设备的设计、制造、检验/试验、装配、安装、调试、试运、验收、运行和维护等标准清单，提交买方确认。</w:t>
      </w:r>
    </w:p>
    <w:p w14:paraId="1C28B36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 本规范书所使用的标准如遇与卖方所执行的标准不一致时，按较高标准执行。</w:t>
      </w:r>
    </w:p>
    <w:p w14:paraId="03815F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 本规范书未尽事宜，由买方、卖方共同协商确定。</w:t>
      </w:r>
    </w:p>
    <w:p w14:paraId="32B0697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 本规范书经买方、卖方双方确认后作为订货合同的技术附件，与合同正文具有同等的法律效力。</w:t>
      </w:r>
    </w:p>
    <w:p w14:paraId="6294615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 箱变中的主要元部件生产厂家应在合同中注明，并提供原厂出具的第三方检测报告。</w:t>
      </w:r>
    </w:p>
    <w:p w14:paraId="05397D06">
      <w:pPr>
        <w:rPr>
          <w:rFonts w:hint="eastAsia" w:ascii="仿宋_GB2312" w:hAnsi="仿宋_GB2312" w:eastAsia="仿宋_GB2312" w:cs="仿宋_GB2312"/>
          <w:sz w:val="32"/>
          <w:szCs w:val="32"/>
        </w:rPr>
      </w:pPr>
    </w:p>
    <w:p w14:paraId="56EC6BF9">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 工程概况</w:t>
      </w:r>
    </w:p>
    <w:p w14:paraId="7FA36EB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 厂址位置：浙江省。</w:t>
      </w:r>
    </w:p>
    <w:p w14:paraId="49CC280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 运行条件：设备应能适应浙江地区高温、高湿、盐雾、台风等环境条件。卖方应保证所有材料、设备、精加工件、装置和系统在运输、卸货、搬运、储存、安装和运行中能经受环境条件，无损坏或失灵，能长期满容量连续运行。</w:t>
      </w:r>
    </w:p>
    <w:p w14:paraId="7AFE43EA">
      <w:pPr>
        <w:ind w:firstLine="640" w:firstLineChars="200"/>
        <w:rPr>
          <w:rFonts w:hint="eastAsia" w:ascii="仿宋_GB2312" w:hAnsi="仿宋_GB2312" w:eastAsia="仿宋_GB2312" w:cs="仿宋_GB2312"/>
          <w:sz w:val="32"/>
          <w:szCs w:val="32"/>
        </w:rPr>
      </w:pPr>
    </w:p>
    <w:p w14:paraId="5741E37F">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 规程和标准</w:t>
      </w:r>
    </w:p>
    <w:p w14:paraId="6A0DE96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 本技术条款范围内的设备应首先采用中华人民共和国国家标准及行业标准。在国内标准不完善的情况下，可采用相应的国际标准（如IEC、IEEE等）中最适宜的条款或双方认定的其他国家标准。所采用的标准必须为最新版本（以投标截止日现行有效版本为准）。</w:t>
      </w:r>
    </w:p>
    <w:p w14:paraId="6C76C07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 提供的所有正式文件、产品铭牌、运输包装等均使用中文。</w:t>
      </w:r>
    </w:p>
    <w:p w14:paraId="4894D54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 提供的所有设备及零件应按ISO 9000质量体系制造，图纸和文件应采用国际度量制单位（SI）和IEC规定的图例符号。</w:t>
      </w:r>
    </w:p>
    <w:p w14:paraId="12946BC1">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 引用标准（包含但不限于以下标准，各标准间如有矛盾冲突，按较高要求执行）：GB/T 17467-2020《高压/低压预装式变电站》；GB 20052-2024《电力变压器能效限定值及能效等级》；GB/T 1094.1～1094.5《电力变压器》；GB/T 1094.3-2017《电力变压器 第3部分：绝缘水平、绝缘试验和外绝缘空气间隙》；GB/T 1094.11-2022《干式电力变压器》；GB/T 10228-2023《干式电力变压器技术参数和要求》；GB/T 11022-2022《高压开关设备和控制设备标准的共用技术要求》；GB/T 3906-2020《3.6 kV～40.5 kV交流金属封闭开关设备和控制设备》；GB/T 7251.1-2023《低压成套开关设备和控制设备 第1部分：总则》；GB/T 14048系列《低压开关设备和控制设备》；GB/T 4208-2017《外壳防护等级（IP代码）》；GB/T 50065-2011《交流电气装置的接地设计规范》；GB/T 50064-2014《交流电气装置的过电压保护和绝缘配合》；GB 50057-2010《建筑物防雷设计规范》；GB/T 18802.1-2011《低压电涌保护器（SPD）》；JB/T 7631-2016《变压器用电子温控器》；IEC 62271-200</w:t>
      </w:r>
      <w:r>
        <w:rPr>
          <w:rFonts w:hint="eastAsia" w:ascii="仿宋_GB2312" w:hAnsi="仿宋_GB2312" w:eastAsia="仿宋_GB2312" w:cs="仿宋_GB2312"/>
          <w:sz w:val="32"/>
          <w:szCs w:val="32"/>
          <w:lang w:val="en-US" w:eastAsia="zh-CN"/>
        </w:rPr>
        <w:t>（等效IEC 466）</w:t>
      </w:r>
      <w:r>
        <w:rPr>
          <w:rFonts w:hint="eastAsia" w:ascii="仿宋_GB2312" w:hAnsi="仿宋_GB2312" w:eastAsia="仿宋_GB2312" w:cs="仿宋_GB2312"/>
          <w:sz w:val="32"/>
          <w:szCs w:val="32"/>
        </w:rPr>
        <w:t>《高压开关设备和控制设备 第200部分：交流金属封闭开关设备和控制设备》。</w:t>
      </w:r>
    </w:p>
    <w:p w14:paraId="5ADD6888">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注： 卖方应提供所有投标设备对应的第三方型式试验报告及检测报告，报告内容须满足本规范书及现行国标参数要求。</w:t>
      </w:r>
    </w:p>
    <w:p w14:paraId="002695FC">
      <w:pPr>
        <w:rPr>
          <w:rFonts w:hint="eastAsia" w:ascii="仿宋_GB2312" w:hAnsi="仿宋_GB2312" w:eastAsia="仿宋_GB2312" w:cs="仿宋_GB2312"/>
          <w:sz w:val="32"/>
          <w:szCs w:val="32"/>
        </w:rPr>
      </w:pPr>
    </w:p>
    <w:p w14:paraId="4B1874DF">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 主要技术参数</w:t>
      </w:r>
    </w:p>
    <w:p w14:paraId="3020269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 电压：系统电压10 kV，高压侧最高工作电压12 kV，低压侧额定电压0.8 kV（与逆变器输出电压匹配，升压后以10 kV并网）。</w:t>
      </w:r>
    </w:p>
    <w:p w14:paraId="3D1859A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 额定频率：50 Hz。</w:t>
      </w:r>
    </w:p>
    <w:p w14:paraId="1535E79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 额定绝缘水平（依据GB/T 11022-2022、GB/T 1094.3-2017）：变压器高压侧工频耐压（1 min）为42 kV，雷电冲击峰值耐压（全波）为95 kV，变压器低压侧工频耐压为3 kV。</w:t>
      </w:r>
    </w:p>
    <w:p w14:paraId="151B728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 相数：三相。</w:t>
      </w:r>
    </w:p>
    <w:p w14:paraId="174153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 系统中性点接地方式：10 kV侧为不接地系统（以供电部门接入系统批复为准）；低压侧为TN-S系统，中性点直接接地。</w:t>
      </w:r>
    </w:p>
    <w:p w14:paraId="36A1A8CD">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4.6 防护等级：箱变箱壳IP55，</w:t>
      </w:r>
      <w:r>
        <w:rPr>
          <w:rFonts w:hint="eastAsia" w:ascii="仿宋_GB2312" w:hAnsi="仿宋_GB2312" w:eastAsia="仿宋_GB2312" w:cs="仿宋_GB2312"/>
          <w:sz w:val="32"/>
          <w:szCs w:val="32"/>
          <w:lang w:val="en-US" w:eastAsia="zh-CN"/>
        </w:rPr>
        <w:t>室内设备：IP4X</w:t>
      </w:r>
      <w:r>
        <w:rPr>
          <w:rFonts w:hint="eastAsia" w:ascii="仿宋_GB2312" w:hAnsi="仿宋_GB2312" w:eastAsia="仿宋_GB2312" w:cs="仿宋_GB2312"/>
          <w:sz w:val="32"/>
          <w:szCs w:val="32"/>
        </w:rPr>
        <w:t>；高压室门开启操作状态下防护等级不低于IP4X。</w:t>
      </w:r>
    </w:p>
    <w:p w14:paraId="1AE9642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4.7 能效等级：达到GB 20052-2024标准，能效等级不低于二级（对应SCB14及以上）。投标人须在投标文件中明确标注所供变压器型号及对应能效等级，并提供第三方型式试验报告。</w:t>
      </w:r>
    </w:p>
    <w:p w14:paraId="5B27037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4.8 变压器标准：符合GB/T 1094.1～1094.5和GB/T 10228。</w:t>
      </w:r>
    </w:p>
    <w:p w14:paraId="339CC2D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4.9 高压开关设备标准：符合GB/T 3906和IEC 62271-200。</w:t>
      </w:r>
    </w:p>
    <w:p w14:paraId="446BCF9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4.10 低压开关设备标准：符合GB/T 14048系列标准和GB/T 7251.1。</w:t>
      </w:r>
    </w:p>
    <w:p w14:paraId="0803F4E5">
      <w:pPr>
        <w:rPr>
          <w:rFonts w:hint="eastAsia" w:ascii="仿宋_GB2312" w:hAnsi="仿宋_GB2312" w:eastAsia="仿宋_GB2312" w:cs="仿宋_GB2312"/>
          <w:sz w:val="32"/>
          <w:szCs w:val="32"/>
        </w:rPr>
      </w:pPr>
    </w:p>
    <w:p w14:paraId="69B6D966">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 技术要求</w:t>
      </w:r>
    </w:p>
    <w:p w14:paraId="120179FB">
      <w:pPr>
        <w:ind w:firstLine="321" w:firstLineChars="100"/>
        <w:rPr>
          <w:rFonts w:hint="default" w:ascii="仿宋_GB2312" w:hAnsi="仿宋_GB2312" w:eastAsia="仿宋_GB2312" w:cs="仿宋_GB2312"/>
          <w:b/>
          <w:bCs/>
          <w:sz w:val="32"/>
          <w:szCs w:val="32"/>
          <w:lang w:val="en-US"/>
        </w:rPr>
      </w:pPr>
      <w:r>
        <w:rPr>
          <w:rFonts w:hint="eastAsia" w:ascii="仿宋_GB2312" w:hAnsi="仿宋_GB2312" w:eastAsia="仿宋_GB2312" w:cs="仿宋_GB2312"/>
          <w:b/>
          <w:bCs/>
          <w:sz w:val="32"/>
          <w:szCs w:val="32"/>
        </w:rPr>
        <w:t>5.1 变压器</w:t>
      </w:r>
      <w:r>
        <w:rPr>
          <w:rFonts w:hint="default" w:ascii="仿宋_GB2312" w:hAnsi="仿宋_GB2312" w:eastAsia="仿宋_GB2312" w:cs="仿宋_GB2312"/>
          <w:b/>
          <w:bCs/>
          <w:sz w:val="32"/>
          <w:szCs w:val="32"/>
          <w:lang w:val="en-US"/>
        </w:rPr>
        <w:t>:</w:t>
      </w:r>
    </w:p>
    <w:p w14:paraId="0754548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5.1.1 变压器型式：环氧树脂浇注式三相铜芯双绕组无励磁调压干式变压器（能效等级不低于二级，对应SCB14及以上）。</w:t>
      </w:r>
    </w:p>
    <w:p w14:paraId="051FF9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5.1.2 额定容量：以招标图纸为准。</w:t>
      </w:r>
    </w:p>
    <w:p w14:paraId="26FB634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5.1.3 容量分配：100%/100%。</w:t>
      </w:r>
    </w:p>
    <w:p w14:paraId="6FC9E14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5.1.4 最高电压：12 kV。</w:t>
      </w:r>
    </w:p>
    <w:p w14:paraId="6924F0E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5.1.5 额定电压：高压侧10.5 kV，低压侧0.8 kV。</w:t>
      </w:r>
    </w:p>
    <w:p w14:paraId="5000D2B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5.1.6 高压分接范围：10.5 ± 2 × 2.5%。</w:t>
      </w:r>
    </w:p>
    <w:p w14:paraId="7E7C070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5.1.7 短路阻抗：高-低 6%。</w:t>
      </w:r>
    </w:p>
    <w:p w14:paraId="142A8F0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5.1.8 连接组标号：D,y11。</w:t>
      </w:r>
    </w:p>
    <w:p w14:paraId="18E08F1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5.1.9 冷却方式：自冷（AN）/风冷（AF）。</w:t>
      </w:r>
    </w:p>
    <w:p w14:paraId="15462E6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5.1.10 噪音水平：≤65 dB（距外壳0.3 m处）。</w:t>
      </w:r>
    </w:p>
    <w:p w14:paraId="0B7087D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5.1.11 泄漏比距：≥3.1 cm/kV。</w:t>
      </w:r>
    </w:p>
    <w:p w14:paraId="303BEEA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5.1.12 绝缘水平：高压侧雷电冲击耐压（全波）95 kV，工频耐压（1 min）42 kV；低压侧工频耐压3 kV。绝缘试验按GB/T 1094.3-2017执行。</w:t>
      </w:r>
    </w:p>
    <w:p w14:paraId="0A2905F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5.1.13 变压器及其它电气元器件应配置电加热防凝露装置，能自动投切，防止极端条件下内部凝露。</w:t>
      </w:r>
    </w:p>
    <w:p w14:paraId="247F388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5.1.14 变压器应配智能温度控制仪，实现自动控制风扇、高温报警、超温跳闸功能，温度显示采用三相巡检，可输出远方模拟信号。温控装置具有电源消失报警信号。温控元件输出接点容量不小于220V，1A。温控装置及冷却风扇的电源由卖方在变压器低压侧自行引接解决，电源侧加装熔断器或空气断路器保护。</w:t>
      </w:r>
    </w:p>
    <w:p w14:paraId="76593D0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5.1.15 温度报警继电器、冷却风扇控制接线应在工厂内完成，并引至二次接线盒。各信号接至端子排。</w:t>
      </w:r>
    </w:p>
    <w:p w14:paraId="2D300C1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5.1.16 变压器的本体信号包含至少1对无源独立干接点，可分别用于远方和就地，干接点容量AC220V，5A。</w:t>
      </w:r>
    </w:p>
    <w:p w14:paraId="2C72586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5.1.17 箱变内所有对外接口接点均引至端子排上，并预留一定数量端子。引上端子的接点包括：变压器超温报警、超温跳闸、高压断路器位置、低压断路器位置、箱变火灾报警信号、高低压门状态信号等。</w:t>
      </w:r>
    </w:p>
    <w:p w14:paraId="7BBB641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5.1.18 箱变内应装设烟感探头并预留开关量接口，能够检测烟雾、明火等火情，输出火灾报警信号至火灾报警系统。</w:t>
      </w:r>
    </w:p>
    <w:p w14:paraId="642C017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5.1.19 风扇马达应满足低噪音、无震动、长寿命要求。风扇及风道配置合理，风扇可手动或自动控制。</w:t>
      </w:r>
    </w:p>
    <w:p w14:paraId="677A332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5.1.20 高低压绕组均为铜导体，玻璃纤维增强。</w:t>
      </w:r>
    </w:p>
    <w:p w14:paraId="7BE006B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5.1.21 铁芯由绝缘子支撑，通过可拆卸接地联接片接地。磁通密度远低于饱和点。铁芯采用国产优质高导磁硅钢片，采取防腐措施。铁芯结构采用阶梯叠铁方式，无穿孔紧固，分接头处装有防尘防潮耐压罩。局部放电量≤5pC。</w:t>
      </w:r>
    </w:p>
    <w:p w14:paraId="562B288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5.1.22 变压器应能承受低压侧出口三相短路（高压侧无穷大电源）而不发生有害变形或损坏。制造厂应提供相同容量或近似容量产品承受短路能力的试验报告。</w:t>
      </w:r>
    </w:p>
    <w:p w14:paraId="19FAD1E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5.1.23 自然风冷（AN）时，环境温度40℃下可带100%额定负荷长期运行；强迫风冷（AF）时可带150%额定负荷长期运行，且不减少变压器使用寿命。</w:t>
      </w:r>
    </w:p>
    <w:p w14:paraId="49E5BD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5.1.24 允许短时间过负载能力（自然空气冷却，正常寿命，过载前已带满负荷）：过电流20%允许60分钟，30%允许40分钟，40%允许32分钟，50%允许18分钟，60%允许5分钟。</w:t>
      </w:r>
    </w:p>
    <w:p w14:paraId="4AA584F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5.1.25 变压器应能随时投入运行，停止运行后6个月内可不经干燥直接投入，并允许在正常环境温度下承受80%的突加负载。</w:t>
      </w:r>
    </w:p>
    <w:p w14:paraId="4F16B13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5.1.26 变压器铭牌为不锈钢材料，字样清晰耐久，安装位置明显可见。</w:t>
      </w:r>
    </w:p>
    <w:p w14:paraId="35E1799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5.1.27 变压器的底板应考虑动力、控制电缆引出开孔的防火、防风沙、防小动物进入措施。</w:t>
      </w:r>
    </w:p>
    <w:p w14:paraId="55086F8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5.1.28 产品散热性能好，机械强度高，不会因温度骤变导致线圈表面龟裂。产品阻燃性好，自身不燃。</w:t>
      </w:r>
    </w:p>
    <w:p w14:paraId="42D74393">
      <w:pPr>
        <w:ind w:firstLine="321" w:firstLineChars="1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5.2 高压侧元件</w:t>
      </w:r>
    </w:p>
    <w:p w14:paraId="73AF0476">
      <w:pPr>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5.2.1 高压断路器：应具有就地手动操作功能，并与高压隔离开关（如有）联锁。高压断路器需上传位置信号至箱变外端子排。高压隔离开关由卖方配套供应，动热稳定与断路器相同。断路器选用国产优质产品。电气参数：电压等级12 kV，工频耐压（1 min）42 kV，雷电冲击电压（全波）95 kV，额定电流1250 A，短时耐受电流31.5 kA/4 s，额定峰值耐受电流70 kA，开断电流能力1250 A，机械寿命≥30000次。卖方须提供高压断路器的型式试验报告，报告中雷电冲击试验电压不得低于95kV。</w:t>
      </w:r>
    </w:p>
    <w:p w14:paraId="6CBD4AF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5.2.2 避雷器：箱变高压侧设氧化锌无间隙避雷器，型号YH5WZ-17/45。参数：额定运行电压17 kV，持续运行电压13.6 kV，标称放电电流（峰值）5 kA，冲击电流（峰值）65 kA，长周波（峰值）200 A/2 ms，雷电电流冲击残压（峰值）≤45 kV，操作波冲击残压（峰值）≤38.3 kV，陡波冲击电流残压（峰值）≤51.8 kV。避雷器应可靠密封，内部电晕最小化，应能在额定电压下承受20次动作负载试验。</w:t>
      </w:r>
    </w:p>
    <w:p w14:paraId="2FB79FF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5.2.3 带电显示器：高压室内配带电指示器，指示高压室是否带电，并控制高压室内门上的电磁锁，确保带电时内门无法打开。</w:t>
      </w:r>
    </w:p>
    <w:p w14:paraId="318FF25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5.2.4 高压侧接线端子：10 kV侧高压每相接线端子需满足二进一出共3根电缆的进出线（进出线规格以招标图为准），方便多台箱变高压侧出线组合成一回集电线路时的电缆连接。</w:t>
      </w:r>
    </w:p>
    <w:p w14:paraId="3E5D1651">
      <w:pPr>
        <w:ind w:firstLine="321" w:firstLineChars="1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5.3 低压侧元件</w:t>
      </w:r>
    </w:p>
    <w:p w14:paraId="4112F98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5.3.1 框架断路器（主进线）：额定电压≥800 V，额定绝缘电压≥1000 V，额定电流以招标图为准，额定短时耐受电流及时间≥25 kA/1 s（800 V），保护功能包括速断、短延时、长延时。低压断路器分合状态应有信号上传，具备远方操作功能。设有就地/远方转换开关，提供就地/远方位置输出接点（无源干接点，AC220V，5A）。提供远方位置信号、故障告警信号等无源干接点（至少2开2闭，容量AC220V，5A），全部引至二次端子排。</w:t>
      </w:r>
    </w:p>
    <w:p w14:paraId="68926F5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5.3.2 塑壳断路器（出线回路）：额定电压≥800 V，额定绝缘电压≥1000 V，额定电流以招标图为准，电气寿命≥2000次，机械寿命≥10000次，保护功能包括速断、过流。</w:t>
      </w:r>
    </w:p>
    <w:p w14:paraId="7BFB066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5.3.3 箱变辅助电源系统：每台变压器低压侧配置一台干式辅助变压器，容量≥5kVA，采用刀熔开关保护。辅助变压器用于给低压侧配电箱供电。低压侧配置一个小型配电箱（配置以招标图为准），卖方负责箱变内部照明、加热、通风、检修等设计。高低压室内均设置照明灯，照明开关按钮设置在内门上。</w:t>
      </w:r>
    </w:p>
    <w:p w14:paraId="2AD92EE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5.3.4 电流互感器：低压侧主进线分支设置电流互感器供监视二次电流，变比以招标图为准。精度等级：测量级0.5级，保护级5P10。</w:t>
      </w:r>
    </w:p>
    <w:p w14:paraId="4282E83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5.3.5 多功能仪表：应具有显示三相电压、三相电流、功率因数、功率、电度等全电量功能，精度0.5级。仪表具有RS-485通信接口，采用MODBUS-RTU通信规约。</w:t>
      </w:r>
    </w:p>
    <w:p w14:paraId="0CD2FE1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5.3.6 浪涌保护器（SPD）：低压侧主进线分支加装浪涌保护器，持续工作电压Uc（L-PE）≥1000 V，标称放电电流In（8/20 μs）≥40 kA，最大放电电流Imax（8/20 μs）≥80 kA，保护电平Up≤3.8 kV，响应时间≤5 ns，温度范围-25℃～+80℃。浪涌保护器须具有北京或上海防雷中心出具的型式检测报告。</w:t>
      </w:r>
    </w:p>
    <w:p w14:paraId="2AED7900">
      <w:pPr>
        <w:ind w:firstLine="482" w:firstLineChars="15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5.4 箱变保护测控装置</w:t>
      </w:r>
    </w:p>
    <w:p w14:paraId="793BC11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5.4.1 每台箱变的低压开关柜内设置一台箱变保护测控装置，用于采集箱变内电气量参数和非电气量参数，满足综合自动化系统的测控要求。卖方须提供相应的低温试验报告并负责安装箱变测控装置及其电缆引接。</w:t>
      </w:r>
    </w:p>
    <w:p w14:paraId="6D64655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5.4.2 箱变保护测控装置要求：</w:t>
      </w:r>
    </w:p>
    <w:p w14:paraId="153EA813">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设备工作条件</w:t>
      </w:r>
      <w:r>
        <w:rPr>
          <w:rFonts w:hint="eastAsia" w:ascii="仿宋_GB2312" w:hAnsi="仿宋_GB2312" w:eastAsia="仿宋_GB2312" w:cs="仿宋_GB2312"/>
          <w:sz w:val="32"/>
          <w:szCs w:val="32"/>
        </w:rPr>
        <w:t>：工作电源AC/DC 220V ±15%，电源频率50 Hz -3 Hz～+2 Hz，工作环境温度-35℃～+75℃。</w:t>
      </w:r>
    </w:p>
    <w:p w14:paraId="27F153E3">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主要功能特点</w:t>
      </w:r>
      <w:r>
        <w:rPr>
          <w:rFonts w:hint="eastAsia" w:ascii="仿宋_GB2312" w:hAnsi="仿宋_GB2312" w:eastAsia="仿宋_GB2312" w:cs="仿宋_GB2312"/>
          <w:sz w:val="32"/>
          <w:szCs w:val="32"/>
        </w:rPr>
        <w:t>：遥信输入≥30路；继电器输出≥5路（标配，可扩展至6路）；直流量输入≥2路（其中一路热电阻或4-20mA可选，另一路固定4-20mA输入），采集变压器绕组温度及箱变内环境温度；具有交流采样功能，可测量I、U、P、Q、F、COSφ、有功电度、无功电度等；电压采集可直接采集逆变器出口三相额定电压（低压侧不设PT）；非电量保护包括高温报警、超温跳闸、温控器故障等；开关量采集包括断路器分合、箱变门打开等信号，以及10kV断路器位置、低压断路器位置、小空开位置；遥控功能对有电操控功能的开关实现远程控分和控合；事件记录≥25次SOE变位记录，≥25次用户操作记录；通信接口≥6路RS-485（MODBUS协议），≥2路以太网（IEC60870-5-104规约）；光纤接口4个，支持光纤环网，单模，支持视频接入；宽温要求：包括显示、电源、CPU、IO板、通讯板在内的全部元器件满足-35℃～+75℃正常工作；安装方式为壁挂式，适合欧式箱变。</w:t>
      </w:r>
    </w:p>
    <w:p w14:paraId="694691C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5.4.2.3 箱变保护测控装置需配置人机接口显示单元。</w:t>
      </w:r>
    </w:p>
    <w:p w14:paraId="02552C77">
      <w:pPr>
        <w:ind w:firstLine="321" w:firstLineChars="1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5.5 箱式变电站结构</w:t>
      </w:r>
    </w:p>
    <w:p w14:paraId="7A50550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5.5.1 箱变形式：欧式箱变。变压器硅钢片采用优质低损耗产品。10kV组合式变压器为全密封免维护产品。</w:t>
      </w:r>
    </w:p>
    <w:p w14:paraId="009E0BE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5.5.2 箱体应为有足够机械强度和刚度的防腐钢结构，在起吊、运输和安装时不变形或损坏。箱体采用高精度焊装结构。双层密封防腐蚀隔温结构，防护等级不低于IP55。内部采用钢板及阻燃绝缘隔板严密分割成高压室、变压器室、低压室，各室防护等级为IP3X。双层箱体均采用≥2.5 mm冷轧钢板制作，双层之间填充防火隔温材料。顶板厚度≥2 mm，底板厚度≥3 mm。所有箱壳（包括门）应电气可靠连接。</w:t>
      </w:r>
    </w:p>
    <w:p w14:paraId="439EA00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5.5.3 箱体骨架为焊接式（与外壳钢板及门可靠连接），高压室、低压室和变压器室按品字或目字型布置。</w:t>
      </w:r>
    </w:p>
    <w:p w14:paraId="71A4743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5.5.4 箱变门采用防风型铰链，所有门向外开，开启角度＞90°，并设定位装置。门有密封措施，装门封条，带把手、暗闩和防雨、防堵、防锈、防破坏专用锁。门的设计尺寸与所装设备尺寸配合。</w:t>
      </w:r>
    </w:p>
    <w:p w14:paraId="0A24C4F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5.5.5 箱体为全密封防盗结构，采用隐蔽式高强度螺栓及耐油腈橡胶垫圈密封箱盖，整个箱体无外露可拆卸螺栓。</w:t>
      </w:r>
    </w:p>
    <w:p w14:paraId="67B3669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5.5.6 箱体和箱柜的内外表面平整光洁，无锈蚀、涂层脱落和磕碰损伤。涂料层应满足漆面牢固均匀、无明显色差、抗强紫外线，保证30年不褪色不脱落，漆膜厚度≥40 μm。</w:t>
      </w:r>
    </w:p>
    <w:p w14:paraId="15EF9EF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5.5.7 箱体设有足够的自然通风口或必要的机械排风设施及隔热措施（双层钢板夹层填充防火保温材料），保证在极端环境温度下运行时，所有电器设备温升不超过允许值，可靠持续运行。</w:t>
      </w:r>
    </w:p>
    <w:p w14:paraId="569DF37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5.5.8 箱体顶盖倾斜度＞3°，装设防雨密封盖板和防雨檐。</w:t>
      </w:r>
    </w:p>
    <w:p w14:paraId="3A14AD1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5.5.9 箱体基座和所有外露金属件均应进行防锈处理，喷涂耐久防护层。箱体内有驱潮装置，避免内部元件凝露。</w:t>
      </w:r>
    </w:p>
    <w:p w14:paraId="7754489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5.5.10 箱体应有可靠的密封性能，门、窗和通风口设防尘土、防风沙、防小动物进入和防渗漏雨水措施。箱体内壁和隔板为高防腐金属材料，箱体颜色RAL 7035。</w:t>
      </w:r>
    </w:p>
    <w:p w14:paraId="0366BDF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5.5.11 低压室在门打开时导电体不能裸露，加装防护板。</w:t>
      </w:r>
    </w:p>
    <w:p w14:paraId="32BAD4A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5.5.12 箱变需有防起火措施，并提供箱变基础开孔、埋管安装的土建要求。</w:t>
      </w:r>
    </w:p>
    <w:p w14:paraId="3CBA58C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5.5.13 接地：箱壳骨架及外壳钢板等整体可靠电气连接，箱壳室外两点标识与地下一次主接地网连接以防止直击雷。箱体内部设截面50×6 mm²接地铜排，壳体内所有需要接地的设备及外壳均与铜排可靠连接，高低压室对角留出与室外接地线相连的接线孔及敲落孔。门及正常运行条件下可抽出的部分在打开或隔离位置时仍可靠接地。</w:t>
      </w:r>
    </w:p>
    <w:p w14:paraId="5B46183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5.5.14 高压室内门加装电磁锁，10 kV侧带电时高压室门不能打开。</w:t>
      </w:r>
    </w:p>
    <w:p w14:paraId="68553E1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5.5.15 箱式变进出线方式：10 kV及低压侧进出线均为电缆，进出线位于箱变底部。低压侧进线为电缆，进线回路数和电缆规格以招标图为准。</w:t>
      </w:r>
    </w:p>
    <w:p w14:paraId="49BC49F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5.5.16 箱变高压侧与光伏板区域集电线路应有明显可见断开点，任意1台箱变内变压器故障时，可在集电线路不停电情况下打开高压断路器检修变压器。</w:t>
      </w:r>
    </w:p>
    <w:p w14:paraId="3EB25A2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5.5.17 高低压电缆室应预留足够空间满足电缆连接及安装，预留空间应考虑电缆头摆放位置。低压室预留通讯柜安装支架和位置（尺寸以通讯柜图纸为准）。</w:t>
      </w:r>
    </w:p>
    <w:p w14:paraId="72CE3A9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5.5.18 二次接线要求：二次接线端子排为阻燃防潮型，有15%备用端子供用户使用。端子排设计合理，有可靠防潮防水措施。端子排应有足够接线端子连接控制、保护、报警信号和电流互感器二次引线等，接线端子采用铜质端子。所有外部接线端子（包括备用端子）均为线夹式。控制跳闸的接线端子之间及与其他端子间均留有空端子或采取隔离措施，避免短接引起误跳闸。</w:t>
      </w:r>
    </w:p>
    <w:p w14:paraId="4E7181F6">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5.6 主要设备技术参数（列表）</w:t>
      </w:r>
    </w:p>
    <w:p w14:paraId="50B8410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箱式变电站房：产品材料标准为防腐整体钢结构；抗台风等级≤36 m/s（12级）；抗震等级≤7级；防腐蚀标准满足GB/T 10125，C4级及以上；屋顶钢板厚度≥2.5 mm；安装方式为一体化现场吊装；保修期以商务合同为准；产品寿命25年；外形尺寸按设计图纸；其他特点包括保温、隔热、吸音、减震、阻燃、防静电、透气。</w:t>
      </w:r>
    </w:p>
    <w:p w14:paraId="649E3E8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变压器：型号SCB14及以上（二级能效及以上）；额定容量以招标图纸为准；最高电压12 kV；额定电压一次/二次为10.5/0.8 kV；高压分接范围10.5 ± 2 × 2.5%；短路阻抗6%；连接组标号D,y11；频率50 Hz；绝缘耐热等级F；冷却方式自冷(AN)/风冷(AF)；噪音水平≤65 dB（距外壳0.3m）；空载损耗满足GB 20052-2024二级能效；负载损耗（120℃）满足GB 20052-2024二级能效；空载电流满足国标；工频耐压（高压侧）42 kV；雷电冲击耐压（高压侧）95 kV。</w:t>
      </w:r>
    </w:p>
    <w:p w14:paraId="68726A5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高压断路器：电压等级12 kV；工频耐压42 kV；雷电冲击电压95 kV；额定电流1250 A；短时耐受电流31.5 kA/4 s；额定峰值耐受电流70 kA；开断电流能力1250 A；机械寿命≥30000次。</w:t>
      </w:r>
    </w:p>
    <w:p w14:paraId="0AE66740">
      <w:pPr>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氧化锌避雷器：型号YH5WZ-17/45；额定运行电压17 kV；持续运行电压13.6 kV；标称放电电流5 kA；冲击电流65 kA；雷电冲击残压≤45 kV；操作波冲击残压≤38.3 kV。</w:t>
      </w:r>
    </w:p>
    <w:p w14:paraId="000828C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低压框架断路器：额定电压≥0.8 kV；额定绝缘电压≥1.0 kV；额定电流以图纸为准；额定短时耐受电流≥25 kA/1 s；额定冲击耐受能力65 kA。</w:t>
      </w:r>
    </w:p>
    <w:p w14:paraId="0D5F9F9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箱变保护测控装置：工作电源AC/DC 220V ±15%；工作温度范围-35℃～+75℃；遥信输入≥30路；继电器输出≥5路；直流量输入≥2路；RS-485接口≥6路；以太网接口≥2路；光纤接口4口，单模，环网。</w:t>
      </w:r>
    </w:p>
    <w:p w14:paraId="49565A6F">
      <w:pPr>
        <w:rPr>
          <w:rFonts w:hint="eastAsia" w:ascii="仿宋_GB2312" w:hAnsi="仿宋_GB2312" w:eastAsia="仿宋_GB2312" w:cs="仿宋_GB2312"/>
          <w:sz w:val="32"/>
          <w:szCs w:val="32"/>
        </w:rPr>
      </w:pPr>
    </w:p>
    <w:p w14:paraId="33DA39C8">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 试验、检测报告及第三方认证</w:t>
      </w:r>
    </w:p>
    <w:p w14:paraId="26F4D75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 卖方应提供完整的型式试验报告、出厂试验报告，报告须由具有CMA/CNAS资质的第三方检测机构出具。</w:t>
      </w:r>
    </w:p>
    <w:p w14:paraId="0E5AA3D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 绝缘试验专项要求：所有高压设备（变压器、高压断路器、避雷器、高压开关柜等）的型式试验报告中，必须包含工频耐压试验和雷电冲击耐压试验数据。其中：工频耐压试验电压≥42 kV，持续时间1 min，无击穿或闪络；雷电冲击耐压试验（全波）≥95 kV，正负极性各3次，无击穿或闪络。凡不能满足上述绝缘参数的设备，买方有权拒绝接收，且卖方需承担由此造成的一切损失。</w:t>
      </w:r>
    </w:p>
    <w:p w14:paraId="6FF653C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 变压器须提供按GB 20052-2024标准进行的能效等级检测报告（二级及以上）。</w:t>
      </w:r>
    </w:p>
    <w:p w14:paraId="5F72071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 高压开关设备须提供符合GB/T 3906-2020的型式试验报告，其中雷电冲击耐压不得低于95 kV。</w:t>
      </w:r>
    </w:p>
    <w:p w14:paraId="501FFF9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6.5 低压开关设备须提供符合GB/T 7251.1-2023的型式试验报告。</w:t>
      </w:r>
    </w:p>
    <w:p w14:paraId="40EAC0A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6.6 箱变整体（组合式变电站）须提供符合GB/T 17467-2020的型式试验报告。</w:t>
      </w:r>
    </w:p>
    <w:p w14:paraId="13B6AF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6.7 浪涌保护器须提供北京或上海防雷中心出具的型式检测报告。</w:t>
      </w:r>
    </w:p>
    <w:p w14:paraId="4613B14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 箱变保护测控装置须提供相应的电磁兼容（EMC）试验报告及宽温工作试验报告。</w:t>
      </w:r>
    </w:p>
    <w:p w14:paraId="6771AE4D">
      <w:pPr>
        <w:rPr>
          <w:rFonts w:hint="eastAsia" w:ascii="仿宋_GB2312" w:hAnsi="仿宋_GB2312" w:eastAsia="仿宋_GB2312" w:cs="仿宋_GB2312"/>
          <w:sz w:val="32"/>
          <w:szCs w:val="32"/>
        </w:rPr>
      </w:pPr>
    </w:p>
    <w:p w14:paraId="3BA8B012">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 标志、包装、运输和储存</w:t>
      </w:r>
    </w:p>
    <w:p w14:paraId="1179DA5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 每台箱变应在明显位置固定永久性铭牌，铭牌材质为不锈钢，内容包括：产品名称、型号、额定参数、制造厂名、出厂编号、日期等。</w:t>
      </w:r>
    </w:p>
    <w:p w14:paraId="28BDA21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 包装应符合GB/T 13384标准，确保设备在运输过程中不受损坏。</w:t>
      </w:r>
    </w:p>
    <w:p w14:paraId="308B200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7.3 运输中应防雨、防潮、防振动冲击。</w:t>
      </w:r>
    </w:p>
    <w:p w14:paraId="593FBC6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7.4 储存环境应干燥、通风、无腐蚀性气体，定期检查维护。</w:t>
      </w:r>
    </w:p>
    <w:p w14:paraId="2D65D64F">
      <w:pPr>
        <w:rPr>
          <w:rFonts w:hint="eastAsia" w:ascii="仿宋_GB2312" w:hAnsi="仿宋_GB2312" w:eastAsia="仿宋_GB2312" w:cs="仿宋_GB2312"/>
          <w:sz w:val="32"/>
          <w:szCs w:val="32"/>
        </w:rPr>
      </w:pPr>
    </w:p>
    <w:p w14:paraId="239A71C2">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8. 质量保证及售后服务</w:t>
      </w:r>
    </w:p>
    <w:p w14:paraId="5AF1152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8.1 设备质保期以商务合同为准，整体设计寿命不低于25年。</w:t>
      </w:r>
    </w:p>
    <w:p w14:paraId="3096386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8.2 质保期内因制造质量问题导致的故障，卖方应免费维修或更换。</w:t>
      </w:r>
    </w:p>
    <w:p w14:paraId="1DA8EDD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8.3 卖方应提供现场安装调试指导服务，对买方人员进行技术培训。</w:t>
      </w:r>
    </w:p>
    <w:p w14:paraId="4DA8E87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8.4 卖方应承诺长期提供备品备件及技术支持。</w:t>
      </w:r>
    </w:p>
    <w:p w14:paraId="7E641D70">
      <w:pPr>
        <w:rPr>
          <w:rFonts w:hint="eastAsia"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73035">
    <w:pPr>
      <w:pStyle w:val="5"/>
      <w:ind w:firstLine="360"/>
      <w:jc w:val="center"/>
      <w:rPr>
        <w:rFonts w:hint="eastAsia"/>
      </w:rPr>
    </w:pPr>
  </w:p>
  <w:p w14:paraId="65B8014C">
    <w:pPr>
      <w:pStyle w:val="5"/>
      <w:ind w:firstLine="360"/>
      <w:jc w:val="center"/>
    </w:pPr>
    <w:r>
      <w:fldChar w:fldCharType="begin"/>
    </w:r>
    <w:r>
      <w:instrText xml:space="preserve">PAGE   \* MERGEFORMAT</w:instrText>
    </w:r>
    <w:r>
      <w:fldChar w:fldCharType="separate"/>
    </w:r>
    <w:r>
      <w:rPr>
        <w:lang w:val="zh-CN"/>
      </w:rPr>
      <w:t>1</w:t>
    </w:r>
    <w:r>
      <w:fldChar w:fldCharType="end"/>
    </w:r>
  </w:p>
  <w:p w14:paraId="2F0E3CFE">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637D6">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ED4BD">
    <w:pPr>
      <w:pStyle w:val="5"/>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C3B4C">
    <w:pPr>
      <w:pStyle w:val="6"/>
      <w:tabs>
        <w:tab w:val="clear" w:pos="4153"/>
      </w:tabs>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25E25">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1AD3C">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A2D763E"/>
    <w:rsid w:val="4DEE67BC"/>
    <w:rsid w:val="57DD126D"/>
    <w:rsid w:val="7F3F3E73"/>
    <w:rsid w:val="DA2D76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Style w:val="8"/>
      <w:tblCellMar>
        <w:top w:w="0" w:type="dxa"/>
        <w:left w:w="108" w:type="dxa"/>
        <w:bottom w:w="0" w:type="dxa"/>
        <w:right w:w="108" w:type="dxa"/>
      </w:tblCellMar>
    </w:tblPr>
  </w:style>
  <w:style w:type="paragraph" w:styleId="5">
    <w:name w:val="footer"/>
    <w:basedOn w:val="1"/>
    <w:unhideWhenUsed/>
    <w:qFormat/>
    <w:uiPriority w:val="99"/>
    <w:pPr>
      <w:tabs>
        <w:tab w:val="center" w:pos="4153"/>
        <w:tab w:val="right" w:pos="8306"/>
      </w:tabs>
      <w:snapToGrid w:val="0"/>
      <w:spacing w:line="240" w:lineRule="auto"/>
      <w:jc w:val="left"/>
    </w:pPr>
    <w:rPr>
      <w:kern w:val="0"/>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spacing w:line="240" w:lineRule="auto"/>
      <w:jc w:val="center"/>
    </w:pPr>
    <w:rPr>
      <w:kern w:val="0"/>
      <w:sz w:val="18"/>
      <w:szCs w:val="18"/>
    </w:rPr>
  </w:style>
  <w:style w:type="paragraph" w:styleId="7">
    <w:name w:val="Normal (Web)"/>
    <w:basedOn w:val="1"/>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7054</Words>
  <Characters>8373</Characters>
  <Lines>0</Lines>
  <Paragraphs>0</Paragraphs>
  <TotalTime>21.6666666666667</TotalTime>
  <ScaleCrop>false</ScaleCrop>
  <LinksUpToDate>false</LinksUpToDate>
  <CharactersWithSpaces>8638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2026-06-02T17:08:00Z</dcterms:created>
  <dc:creator>greatwall</dc:creator>
  <cp:lastModifiedBy>NTKO</cp:lastModifiedBy>
  <dcterms:modified xsi:type="dcterms:W3CDTF">2026-06-02T07:19:59Z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13CC839C810C45979C53F1C9B500D6EC_13</vt:lpwstr>
  </property>
</Properties>
</file>