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CED8E">
      <w:pPr>
        <w:tabs>
          <w:tab w:val="left" w:pos="1069"/>
          <w:tab w:val="left" w:pos="2352"/>
        </w:tabs>
        <w:jc w:val="center"/>
        <w:rPr>
          <w:rFonts w:hint="eastAsia" w:ascii="宋体" w:hAnsi="宋体" w:cs="宋体"/>
          <w:b/>
          <w:bCs/>
          <w:color w:val="auto"/>
          <w:spacing w:val="100"/>
          <w:sz w:val="72"/>
          <w:szCs w:val="72"/>
          <w:highlight w:val="none"/>
        </w:rPr>
      </w:pPr>
    </w:p>
    <w:p w14:paraId="3D181F6A">
      <w:pPr>
        <w:tabs>
          <w:tab w:val="left" w:pos="1069"/>
          <w:tab w:val="left" w:pos="2352"/>
        </w:tabs>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泰顺县政府采购</w:t>
      </w:r>
    </w:p>
    <w:p w14:paraId="5BCF3D85">
      <w:pPr>
        <w:tabs>
          <w:tab w:val="left" w:pos="1069"/>
          <w:tab w:val="left" w:pos="2352"/>
        </w:tabs>
        <w:jc w:val="center"/>
        <w:rPr>
          <w:rFonts w:ascii="宋体" w:hAnsi="宋体" w:cs="宋体"/>
          <w:b/>
          <w:bCs/>
          <w:color w:val="auto"/>
          <w:kern w:val="0"/>
          <w:szCs w:val="24"/>
          <w:highlight w:val="none"/>
        </w:rPr>
      </w:pPr>
    </w:p>
    <w:p w14:paraId="17E020A3">
      <w:pPr>
        <w:pStyle w:val="32"/>
        <w:tabs>
          <w:tab w:val="left" w:pos="1069"/>
          <w:tab w:val="left" w:pos="2352"/>
        </w:tabs>
        <w:rPr>
          <w:rFonts w:ascii="宋体" w:hAnsi="宋体" w:cs="宋体"/>
          <w:color w:val="auto"/>
          <w:highlight w:val="none"/>
        </w:rPr>
      </w:pPr>
    </w:p>
    <w:p w14:paraId="310A5F6B">
      <w:pPr>
        <w:tabs>
          <w:tab w:val="left" w:pos="1069"/>
          <w:tab w:val="left" w:pos="2352"/>
        </w:tabs>
        <w:jc w:val="center"/>
        <w:rPr>
          <w:rFonts w:ascii="宋体" w:hAnsi="宋体" w:cs="宋体"/>
          <w:b/>
          <w:bCs/>
          <w:color w:val="auto"/>
          <w:kern w:val="0"/>
          <w:szCs w:val="24"/>
          <w:highlight w:val="none"/>
        </w:rPr>
      </w:pPr>
    </w:p>
    <w:p w14:paraId="09AB21A8">
      <w:pPr>
        <w:tabs>
          <w:tab w:val="left" w:pos="1069"/>
          <w:tab w:val="left" w:pos="2352"/>
        </w:tabs>
        <w:jc w:val="center"/>
        <w:rPr>
          <w:rFonts w:ascii="宋体" w:hAnsi="宋体" w:cs="宋体"/>
          <w:b/>
          <w:bCs/>
          <w:color w:val="auto"/>
          <w:kern w:val="0"/>
          <w:szCs w:val="24"/>
          <w:highlight w:val="none"/>
        </w:rPr>
      </w:pPr>
    </w:p>
    <w:p w14:paraId="2E3D8CDC">
      <w:pPr>
        <w:pStyle w:val="2"/>
        <w:tabs>
          <w:tab w:val="left" w:pos="1069"/>
          <w:tab w:val="left" w:pos="2352"/>
        </w:tabs>
        <w:rPr>
          <w:rFonts w:ascii="宋体" w:hAnsi="宋体" w:cs="宋体"/>
          <w:b/>
          <w:color w:val="auto"/>
          <w:szCs w:val="24"/>
          <w:highlight w:val="none"/>
        </w:rPr>
      </w:pPr>
    </w:p>
    <w:p w14:paraId="0BF8E85B">
      <w:pPr>
        <w:pStyle w:val="3"/>
        <w:rPr>
          <w:color w:val="auto"/>
          <w:highlight w:val="none"/>
        </w:rPr>
      </w:pPr>
    </w:p>
    <w:p w14:paraId="4E0EFB93">
      <w:pPr>
        <w:pStyle w:val="2"/>
        <w:tabs>
          <w:tab w:val="left" w:pos="1069"/>
          <w:tab w:val="left" w:pos="2352"/>
        </w:tabs>
        <w:rPr>
          <w:rFonts w:ascii="宋体" w:hAnsi="宋体" w:cs="宋体"/>
          <w:b/>
          <w:color w:val="auto"/>
          <w:szCs w:val="24"/>
          <w:highlight w:val="none"/>
        </w:rPr>
      </w:pPr>
    </w:p>
    <w:p w14:paraId="3FC42211">
      <w:pPr>
        <w:pStyle w:val="2"/>
        <w:tabs>
          <w:tab w:val="left" w:pos="1069"/>
          <w:tab w:val="left" w:pos="2352"/>
        </w:tabs>
        <w:rPr>
          <w:rFonts w:ascii="宋体" w:hAnsi="宋体" w:cs="宋体"/>
          <w:b/>
          <w:color w:val="auto"/>
          <w:szCs w:val="24"/>
          <w:highlight w:val="none"/>
        </w:rPr>
      </w:pPr>
    </w:p>
    <w:p w14:paraId="54073D96">
      <w:pPr>
        <w:pStyle w:val="2"/>
        <w:tabs>
          <w:tab w:val="left" w:pos="1069"/>
          <w:tab w:val="left" w:pos="2352"/>
        </w:tabs>
        <w:rPr>
          <w:rFonts w:ascii="宋体" w:hAnsi="宋体" w:cs="宋体"/>
          <w:b/>
          <w:color w:val="auto"/>
          <w:szCs w:val="24"/>
          <w:highlight w:val="none"/>
        </w:rPr>
      </w:pPr>
    </w:p>
    <w:p w14:paraId="1F25425A">
      <w:pPr>
        <w:tabs>
          <w:tab w:val="left" w:pos="1069"/>
          <w:tab w:val="left" w:pos="2352"/>
        </w:tabs>
        <w:spacing w:line="900" w:lineRule="exact"/>
        <w:jc w:val="center"/>
        <w:rPr>
          <w:rFonts w:ascii="宋体" w:hAnsi="宋体" w:cs="宋体"/>
          <w:b/>
          <w:bCs/>
          <w:color w:val="auto"/>
          <w:spacing w:val="140"/>
          <w:sz w:val="72"/>
          <w:szCs w:val="72"/>
          <w:highlight w:val="none"/>
        </w:rPr>
      </w:pPr>
      <w:r>
        <w:rPr>
          <w:rFonts w:hint="eastAsia" w:ascii="宋体" w:hAnsi="宋体" w:cs="宋体"/>
          <w:b/>
          <w:bCs/>
          <w:color w:val="auto"/>
          <w:spacing w:val="140"/>
          <w:sz w:val="72"/>
          <w:szCs w:val="72"/>
          <w:highlight w:val="none"/>
        </w:rPr>
        <w:t>竞争性磋商文件</w:t>
      </w:r>
    </w:p>
    <w:p w14:paraId="433B6653">
      <w:pPr>
        <w:tabs>
          <w:tab w:val="left" w:pos="1069"/>
          <w:tab w:val="left" w:pos="2352"/>
        </w:tabs>
        <w:jc w:val="center"/>
        <w:rPr>
          <w:rFonts w:ascii="宋体" w:hAnsi="宋体" w:cs="宋体"/>
          <w:b/>
          <w:color w:val="auto"/>
          <w:sz w:val="36"/>
          <w:szCs w:val="36"/>
          <w:highlight w:val="none"/>
        </w:rPr>
      </w:pPr>
    </w:p>
    <w:p w14:paraId="322E4FC3">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3710BB06">
      <w:pPr>
        <w:pStyle w:val="19"/>
        <w:tabs>
          <w:tab w:val="left" w:pos="2352"/>
        </w:tabs>
        <w:rPr>
          <w:color w:val="auto"/>
          <w:highlight w:val="none"/>
        </w:rPr>
      </w:pPr>
    </w:p>
    <w:tbl>
      <w:tblPr>
        <w:tblStyle w:val="26"/>
        <w:tblpPr w:leftFromText="180" w:rightFromText="180" w:vertAnchor="text" w:tblpXSpec="right" w:tblpY="1"/>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90"/>
        <w:gridCol w:w="6574"/>
      </w:tblGrid>
      <w:tr w14:paraId="2CC49D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rPr>
          <w:trHeight w:val="680" w:hRule="atLeast"/>
        </w:trPr>
        <w:tc>
          <w:tcPr>
            <w:tcW w:w="2590" w:type="dxa"/>
            <w:vAlign w:val="center"/>
          </w:tcPr>
          <w:p w14:paraId="051D581E">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采购编号</w:t>
            </w:r>
          </w:p>
        </w:tc>
        <w:tc>
          <w:tcPr>
            <w:tcW w:w="6574" w:type="dxa"/>
            <w:vAlign w:val="center"/>
          </w:tcPr>
          <w:p w14:paraId="5C5CF554">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330329265190010000001-TSCG202606003</w:t>
            </w:r>
          </w:p>
        </w:tc>
      </w:tr>
      <w:tr w14:paraId="306141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2F3D6AC5">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tc>
        <w:tc>
          <w:tcPr>
            <w:tcW w:w="6574" w:type="dxa"/>
            <w:tcBorders>
              <w:top w:val="dashSmallGap" w:color="auto" w:sz="4" w:space="0"/>
              <w:left w:val="dashSmallGap" w:color="auto" w:sz="4" w:space="0"/>
              <w:right w:val="dashSmallGap" w:color="auto" w:sz="4" w:space="0"/>
            </w:tcBorders>
            <w:vAlign w:val="center"/>
          </w:tcPr>
          <w:p w14:paraId="6BB8BA6A">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cs="宋体"/>
                <w:b/>
                <w:bCs/>
                <w:color w:val="auto"/>
                <w:sz w:val="30"/>
                <w:szCs w:val="30"/>
                <w:highlight w:val="none"/>
                <w:lang w:eastAsia="zh-CN"/>
              </w:rPr>
              <w:t>泰顺县包垟乡环卫保洁服务</w:t>
            </w:r>
          </w:p>
        </w:tc>
      </w:tr>
      <w:tr w14:paraId="50EBA21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5803C13F">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采购方式</w:t>
            </w:r>
          </w:p>
        </w:tc>
        <w:tc>
          <w:tcPr>
            <w:tcW w:w="6574" w:type="dxa"/>
            <w:tcBorders>
              <w:top w:val="dashSmallGap" w:color="auto" w:sz="4" w:space="0"/>
              <w:left w:val="dashSmallGap" w:color="auto" w:sz="4" w:space="0"/>
              <w:right w:val="dashSmallGap" w:color="auto" w:sz="4" w:space="0"/>
            </w:tcBorders>
            <w:vAlign w:val="center"/>
          </w:tcPr>
          <w:p w14:paraId="0480AA97">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竞争性磋商</w:t>
            </w:r>
          </w:p>
        </w:tc>
      </w:tr>
      <w:tr w14:paraId="352B5F1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471DB9F3">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采购单位</w:t>
            </w:r>
          </w:p>
        </w:tc>
        <w:tc>
          <w:tcPr>
            <w:tcW w:w="6574" w:type="dxa"/>
            <w:tcBorders>
              <w:top w:val="dashSmallGap" w:color="auto" w:sz="4" w:space="0"/>
              <w:left w:val="dashSmallGap" w:color="auto" w:sz="4" w:space="0"/>
              <w:right w:val="dashSmallGap" w:color="auto" w:sz="4" w:space="0"/>
            </w:tcBorders>
            <w:vAlign w:val="center"/>
          </w:tcPr>
          <w:p w14:paraId="7DFF2F51">
            <w:pPr>
              <w:tabs>
                <w:tab w:val="left" w:pos="1069"/>
                <w:tab w:val="left" w:pos="2139"/>
                <w:tab w:val="left" w:pos="2352"/>
              </w:tabs>
              <w:snapToGrid w:val="0"/>
              <w:spacing w:line="500" w:lineRule="atLeas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泰顺县包垟乡人民政府</w:t>
            </w:r>
          </w:p>
        </w:tc>
      </w:tr>
      <w:tr w14:paraId="5AAD71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49154743">
            <w:pPr>
              <w:tabs>
                <w:tab w:val="left" w:pos="1069"/>
                <w:tab w:val="left" w:pos="213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p>
        </w:tc>
        <w:tc>
          <w:tcPr>
            <w:tcW w:w="6574" w:type="dxa"/>
            <w:tcBorders>
              <w:top w:val="dashSmallGap" w:color="auto" w:sz="4" w:space="0"/>
              <w:left w:val="dashSmallGap" w:color="auto" w:sz="4" w:space="0"/>
              <w:right w:val="dashSmallGap" w:color="auto" w:sz="4" w:space="0"/>
            </w:tcBorders>
            <w:vAlign w:val="center"/>
          </w:tcPr>
          <w:p w14:paraId="3DA894E5">
            <w:pPr>
              <w:tabs>
                <w:tab w:val="left" w:pos="1069"/>
                <w:tab w:val="left" w:pos="213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台州嘉亿招标代理有限责任公司  </w:t>
            </w:r>
          </w:p>
        </w:tc>
      </w:tr>
      <w:tr w14:paraId="34C050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tcBorders>
              <w:top w:val="dashSmallGap" w:color="auto" w:sz="4" w:space="0"/>
              <w:left w:val="dashSmallGap" w:color="auto" w:sz="4" w:space="0"/>
              <w:right w:val="dashSmallGap" w:color="auto" w:sz="4" w:space="0"/>
            </w:tcBorders>
            <w:vAlign w:val="center"/>
          </w:tcPr>
          <w:p w14:paraId="1E17D854">
            <w:pPr>
              <w:tabs>
                <w:tab w:val="left" w:pos="1069"/>
                <w:tab w:val="left" w:pos="2139"/>
                <w:tab w:val="left" w:pos="2352"/>
              </w:tabs>
              <w:rPr>
                <w:rFonts w:ascii="宋体" w:hAnsi="宋体" w:cs="宋体"/>
                <w:b/>
                <w:bCs/>
                <w:color w:val="auto"/>
                <w:sz w:val="28"/>
                <w:szCs w:val="28"/>
                <w:highlight w:val="none"/>
              </w:rPr>
            </w:pPr>
            <w:r>
              <w:rPr>
                <w:rFonts w:hint="eastAsia" w:ascii="宋体" w:hAnsi="宋体" w:cs="宋体"/>
                <w:b/>
                <w:color w:val="auto"/>
                <w:sz w:val="30"/>
                <w:szCs w:val="30"/>
                <w:highlight w:val="none"/>
              </w:rPr>
              <w:t>监督及备案机构</w:t>
            </w:r>
          </w:p>
        </w:tc>
        <w:tc>
          <w:tcPr>
            <w:tcW w:w="6574" w:type="dxa"/>
            <w:tcBorders>
              <w:top w:val="dashSmallGap" w:color="auto" w:sz="4" w:space="0"/>
              <w:left w:val="dashSmallGap" w:color="auto" w:sz="4" w:space="0"/>
              <w:right w:val="dashSmallGap" w:color="auto" w:sz="4" w:space="0"/>
            </w:tcBorders>
            <w:vAlign w:val="center"/>
          </w:tcPr>
          <w:p w14:paraId="1B94E863">
            <w:pPr>
              <w:tabs>
                <w:tab w:val="left" w:pos="1069"/>
                <w:tab w:val="left" w:pos="2139"/>
                <w:tab w:val="left" w:pos="2352"/>
              </w:tabs>
              <w:rPr>
                <w:rFonts w:hint="eastAsia" w:ascii="宋体" w:hAnsi="宋体" w:eastAsia="宋体" w:cs="宋体"/>
                <w:b/>
                <w:bCs/>
                <w:color w:val="auto"/>
                <w:sz w:val="28"/>
                <w:szCs w:val="28"/>
                <w:highlight w:val="none"/>
                <w:lang w:val="en-US" w:eastAsia="zh-CN"/>
              </w:rPr>
            </w:pPr>
            <w:bookmarkStart w:id="0" w:name="B20_同级政府采购监督管理部门"/>
            <w:r>
              <w:rPr>
                <w:rFonts w:hint="eastAsia" w:ascii="宋体" w:hAnsi="宋体" w:cs="宋体"/>
                <w:b/>
                <w:color w:val="auto"/>
                <w:sz w:val="30"/>
                <w:szCs w:val="30"/>
                <w:highlight w:val="none"/>
              </w:rPr>
              <w:t>泰顺县</w:t>
            </w:r>
            <w:bookmarkEnd w:id="0"/>
            <w:r>
              <w:rPr>
                <w:rFonts w:hint="eastAsia" w:ascii="宋体" w:hAnsi="宋体" w:cs="宋体"/>
                <w:b/>
                <w:color w:val="auto"/>
                <w:sz w:val="30"/>
                <w:szCs w:val="30"/>
                <w:highlight w:val="none"/>
              </w:rPr>
              <w:t>财政局</w:t>
            </w:r>
          </w:p>
        </w:tc>
      </w:tr>
    </w:tbl>
    <w:p w14:paraId="17AB691B">
      <w:pPr>
        <w:tabs>
          <w:tab w:val="left" w:pos="1069"/>
          <w:tab w:val="left" w:pos="2352"/>
        </w:tabs>
        <w:autoSpaceDE w:val="0"/>
        <w:autoSpaceDN w:val="0"/>
        <w:adjustRightInd w:val="0"/>
        <w:spacing w:line="440" w:lineRule="atLeast"/>
        <w:jc w:val="center"/>
        <w:rPr>
          <w:rFonts w:ascii="宋体" w:hAnsi="宋体" w:cs="宋体"/>
          <w:b/>
          <w:color w:val="auto"/>
          <w:sz w:val="30"/>
          <w:szCs w:val="30"/>
          <w:highlight w:val="none"/>
        </w:rPr>
      </w:pPr>
    </w:p>
    <w:p w14:paraId="115F610E">
      <w:pPr>
        <w:tabs>
          <w:tab w:val="left" w:pos="1069"/>
          <w:tab w:val="left" w:pos="2352"/>
          <w:tab w:val="left" w:pos="3850"/>
        </w:tabs>
        <w:autoSpaceDE w:val="0"/>
        <w:autoSpaceDN w:val="0"/>
        <w:adjustRightInd w:val="0"/>
        <w:spacing w:line="440" w:lineRule="atLeast"/>
        <w:jc w:val="center"/>
        <w:rPr>
          <w:rFonts w:hint="eastAsia" w:ascii="宋体" w:hAnsi="宋体" w:cs="宋体"/>
          <w:b/>
          <w:color w:val="auto"/>
          <w:sz w:val="30"/>
          <w:szCs w:val="30"/>
          <w:highlight w:val="none"/>
        </w:rPr>
      </w:pPr>
    </w:p>
    <w:p w14:paraId="08203772">
      <w:pPr>
        <w:tabs>
          <w:tab w:val="left" w:pos="1069"/>
          <w:tab w:val="left" w:pos="2352"/>
          <w:tab w:val="left" w:pos="3850"/>
        </w:tabs>
        <w:autoSpaceDE w:val="0"/>
        <w:autoSpaceDN w:val="0"/>
        <w:adjustRightInd w:val="0"/>
        <w:spacing w:line="440" w:lineRule="atLeast"/>
        <w:jc w:val="center"/>
        <w:rPr>
          <w:rFonts w:ascii="宋体" w:hAnsi="宋体" w:cs="宋体"/>
          <w:color w:val="auto"/>
          <w:highlight w:val="none"/>
        </w:rPr>
        <w:sectPr>
          <w:headerReference r:id="rId4" w:type="first"/>
          <w:headerReference r:id="rId3" w:type="default"/>
          <w:pgSz w:w="11906" w:h="16838"/>
          <w:pgMar w:top="1440" w:right="1247" w:bottom="1440" w:left="1247" w:header="851" w:footer="992" w:gutter="0"/>
          <w:pgBorders>
            <w:top w:val="none" w:sz="0" w:space="0"/>
            <w:left w:val="none" w:sz="0" w:space="0"/>
            <w:bottom w:val="none" w:sz="0" w:space="0"/>
            <w:right w:val="none" w:sz="0" w:space="0"/>
          </w:pgBorders>
          <w:pgNumType w:fmt="numberInDash"/>
          <w:cols w:space="720" w:num="1"/>
          <w:titlePg/>
          <w:docGrid w:type="linesAndChars" w:linePitch="317" w:charSpace="799"/>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月</w:t>
      </w:r>
    </w:p>
    <w:p w14:paraId="76E4D8CF">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highlight w:val="none"/>
          <w:lang w:val="zh-CN"/>
        </w:rPr>
      </w:pPr>
      <w:bookmarkStart w:id="1" w:name="_Toc6035_WPSOffice_Level1"/>
    </w:p>
    <w:p w14:paraId="6F290955">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p>
    <w:p w14:paraId="6FD44DFB">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rPr>
        <w:t>竞争性磋商文件目录</w:t>
      </w:r>
    </w:p>
    <w:p w14:paraId="3B3B8313">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p>
    <w:p w14:paraId="3BEF1E97">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采购公告...................................................2</w:t>
      </w:r>
    </w:p>
    <w:p w14:paraId="0EB8B351">
      <w:pPr>
        <w:tabs>
          <w:tab w:val="left" w:pos="1069"/>
          <w:tab w:val="left" w:pos="1080"/>
          <w:tab w:val="left" w:pos="2352"/>
        </w:tabs>
        <w:autoSpaceDE w:val="0"/>
        <w:autoSpaceDN w:val="0"/>
        <w:adjustRightInd w:val="0"/>
        <w:spacing w:line="800" w:lineRule="exact"/>
        <w:textAlignment w:val="baseline"/>
        <w:rPr>
          <w:rFonts w:ascii="宋体" w:hAnsi="宋体" w:cs="宋体"/>
          <w:b/>
          <w:bCs/>
          <w:color w:val="auto"/>
          <w:sz w:val="32"/>
          <w:szCs w:val="32"/>
          <w:highlight w:val="none"/>
        </w:rPr>
      </w:pPr>
      <w:r>
        <w:rPr>
          <w:rFonts w:hint="eastAsia" w:ascii="宋体" w:hAnsi="宋体" w:cs="宋体"/>
          <w:color w:val="auto"/>
          <w:sz w:val="28"/>
          <w:szCs w:val="28"/>
          <w:highlight w:val="none"/>
        </w:rPr>
        <w:t>第一部分、投标邀请函（投标须知前附表）.....................5</w:t>
      </w:r>
    </w:p>
    <w:p w14:paraId="2E663DB2">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第二部分、采购内容及要求...................................</w:t>
      </w:r>
      <w:r>
        <w:rPr>
          <w:rFonts w:hint="eastAsia" w:ascii="宋体" w:hAnsi="宋体" w:cs="宋体"/>
          <w:color w:val="auto"/>
          <w:sz w:val="28"/>
          <w:szCs w:val="28"/>
          <w:highlight w:val="none"/>
          <w:lang w:val="en-US" w:eastAsia="zh-CN"/>
        </w:rPr>
        <w:t>8</w:t>
      </w:r>
    </w:p>
    <w:p w14:paraId="32EFE678">
      <w:pPr>
        <w:tabs>
          <w:tab w:val="left" w:pos="1069"/>
          <w:tab w:val="left" w:pos="1080"/>
          <w:tab w:val="left" w:pos="2352"/>
        </w:tabs>
        <w:autoSpaceDE w:val="0"/>
        <w:autoSpaceDN w:val="0"/>
        <w:adjustRightInd w:val="0"/>
        <w:spacing w:line="800" w:lineRule="exact"/>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第三部分、供应商须知......................................</w:t>
      </w:r>
      <w:r>
        <w:rPr>
          <w:rFonts w:hint="eastAsia" w:ascii="宋体" w:hAnsi="宋体" w:cs="宋体"/>
          <w:color w:val="auto"/>
          <w:sz w:val="28"/>
          <w:szCs w:val="28"/>
          <w:highlight w:val="none"/>
          <w:lang w:val="en-US" w:eastAsia="zh-CN"/>
        </w:rPr>
        <w:t>19</w:t>
      </w:r>
    </w:p>
    <w:p w14:paraId="487E838C">
      <w:pPr>
        <w:tabs>
          <w:tab w:val="left" w:pos="1069"/>
          <w:tab w:val="left" w:pos="1080"/>
          <w:tab w:val="left" w:pos="2352"/>
        </w:tabs>
        <w:autoSpaceDE w:val="0"/>
        <w:autoSpaceDN w:val="0"/>
        <w:adjustRightInd w:val="0"/>
        <w:spacing w:line="800" w:lineRule="exact"/>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第四部分、政府采购政策功能相关说明........................</w:t>
      </w:r>
      <w:r>
        <w:rPr>
          <w:rFonts w:hint="eastAsia" w:ascii="宋体" w:hAnsi="宋体" w:cs="宋体"/>
          <w:color w:val="auto"/>
          <w:sz w:val="28"/>
          <w:szCs w:val="28"/>
          <w:highlight w:val="none"/>
          <w:lang w:val="en-US" w:eastAsia="zh-CN"/>
        </w:rPr>
        <w:t>29</w:t>
      </w:r>
    </w:p>
    <w:p w14:paraId="46FE4C11">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第五部分、合同格式........................................</w:t>
      </w:r>
      <w:r>
        <w:rPr>
          <w:rFonts w:hint="eastAsia" w:ascii="宋体" w:hAnsi="宋体" w:cs="宋体"/>
          <w:color w:val="auto"/>
          <w:sz w:val="28"/>
          <w:szCs w:val="28"/>
          <w:highlight w:val="none"/>
          <w:lang w:val="en-US" w:eastAsia="zh-CN"/>
        </w:rPr>
        <w:t>34</w:t>
      </w:r>
    </w:p>
    <w:p w14:paraId="40C8C8B2">
      <w:pPr>
        <w:tabs>
          <w:tab w:val="left" w:pos="1069"/>
          <w:tab w:val="left" w:pos="1080"/>
          <w:tab w:val="left" w:pos="2352"/>
        </w:tabs>
        <w:autoSpaceDE w:val="0"/>
        <w:autoSpaceDN w:val="0"/>
        <w:adjustRightInd w:val="0"/>
        <w:spacing w:line="800" w:lineRule="exact"/>
        <w:textAlignment w:val="baseline"/>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第六部分、投标（响应）文件格式............................</w:t>
      </w:r>
      <w:r>
        <w:rPr>
          <w:rFonts w:hint="eastAsia" w:ascii="宋体" w:hAnsi="宋体" w:cs="宋体"/>
          <w:color w:val="auto"/>
          <w:sz w:val="28"/>
          <w:szCs w:val="28"/>
          <w:highlight w:val="none"/>
          <w:lang w:val="en-US" w:eastAsia="zh-CN"/>
        </w:rPr>
        <w:t>38</w:t>
      </w:r>
    </w:p>
    <w:p w14:paraId="129ACA14">
      <w:pPr>
        <w:tabs>
          <w:tab w:val="left" w:pos="1069"/>
          <w:tab w:val="left" w:pos="1080"/>
          <w:tab w:val="left" w:pos="2352"/>
        </w:tabs>
        <w:autoSpaceDE w:val="0"/>
        <w:autoSpaceDN w:val="0"/>
        <w:adjustRightInd w:val="0"/>
        <w:spacing w:line="800" w:lineRule="exact"/>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第七部分、评标办法........................................</w:t>
      </w:r>
      <w:r>
        <w:rPr>
          <w:rFonts w:hint="eastAsia" w:ascii="宋体" w:hAnsi="宋体" w:cs="宋体"/>
          <w:color w:val="auto"/>
          <w:sz w:val="28"/>
          <w:szCs w:val="28"/>
          <w:highlight w:val="none"/>
          <w:lang w:val="en-US" w:eastAsia="zh-CN"/>
        </w:rPr>
        <w:t>52</w:t>
      </w:r>
    </w:p>
    <w:p w14:paraId="6DA93100">
      <w:pPr>
        <w:pStyle w:val="18"/>
        <w:tabs>
          <w:tab w:val="left" w:pos="2352"/>
        </w:tabs>
        <w:rPr>
          <w:color w:val="auto"/>
          <w:highlight w:val="none"/>
        </w:rPr>
      </w:pPr>
    </w:p>
    <w:p w14:paraId="70EE6E6F">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43EBEAF9">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highlight w:val="none"/>
          <w:u w:val="singl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63E6ADF0">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75770C85">
      <w:pPr>
        <w:pStyle w:val="18"/>
        <w:tabs>
          <w:tab w:val="left" w:pos="2352"/>
        </w:tabs>
        <w:rPr>
          <w:color w:val="auto"/>
          <w:highlight w:val="none"/>
        </w:rPr>
      </w:pPr>
    </w:p>
    <w:p w14:paraId="1F225C3B">
      <w:pPr>
        <w:pStyle w:val="18"/>
        <w:tabs>
          <w:tab w:val="left" w:pos="2352"/>
        </w:tabs>
        <w:rPr>
          <w:color w:val="auto"/>
          <w:highlight w:val="none"/>
        </w:rPr>
      </w:pPr>
    </w:p>
    <w:p w14:paraId="14B5F741">
      <w:pPr>
        <w:tabs>
          <w:tab w:val="left" w:pos="1069"/>
          <w:tab w:val="left" w:pos="1080"/>
          <w:tab w:val="left" w:pos="2352"/>
        </w:tabs>
        <w:autoSpaceDE w:val="0"/>
        <w:autoSpaceDN w:val="0"/>
        <w:adjustRightInd w:val="0"/>
        <w:spacing w:line="360" w:lineRule="auto"/>
        <w:jc w:val="center"/>
        <w:textAlignment w:val="baseline"/>
        <w:rPr>
          <w:rFonts w:hint="eastAsia"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关于</w:t>
      </w:r>
      <w:r>
        <w:rPr>
          <w:rFonts w:hint="eastAsia" w:ascii="宋体" w:hAnsi="宋体" w:cs="宋体"/>
          <w:b/>
          <w:bCs/>
          <w:color w:val="auto"/>
          <w:sz w:val="24"/>
          <w:szCs w:val="24"/>
          <w:highlight w:val="none"/>
          <w:u w:val="none"/>
          <w:lang w:eastAsia="zh-CN"/>
        </w:rPr>
        <w:t>泰顺县包垟乡环卫保洁服务</w:t>
      </w:r>
      <w:r>
        <w:rPr>
          <w:rFonts w:hint="eastAsia" w:ascii="宋体" w:hAnsi="宋体" w:cs="宋体"/>
          <w:b/>
          <w:bCs/>
          <w:color w:val="auto"/>
          <w:sz w:val="24"/>
          <w:szCs w:val="24"/>
          <w:highlight w:val="none"/>
          <w:u w:val="none"/>
        </w:rPr>
        <w:t>的竞争性磋商公告</w:t>
      </w:r>
    </w:p>
    <w:tbl>
      <w:tblPr>
        <w:tblStyle w:val="26"/>
        <w:tblpPr w:leftFromText="180" w:rightFromText="180" w:vertAnchor="text" w:tblpX="-132" w:tblpY="1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6E7E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00" w:type="pct"/>
          </w:tcPr>
          <w:p w14:paraId="5AF5C84B">
            <w:pPr>
              <w:pStyle w:val="22"/>
              <w:spacing w:before="38" w:after="156" w:afterLines="0"/>
              <w:rPr>
                <w:color w:val="auto"/>
                <w:szCs w:val="24"/>
                <w:highlight w:val="none"/>
              </w:rPr>
            </w:pPr>
            <w:r>
              <w:rPr>
                <w:rFonts w:ascii="仿宋" w:hAnsi="仿宋" w:eastAsia="仿宋" w:cs="仿宋"/>
                <w:color w:val="auto"/>
                <w:szCs w:val="24"/>
                <w:highlight w:val="none"/>
              </w:rPr>
              <w:t>项目概况</w:t>
            </w:r>
            <w:r>
              <w:rPr>
                <w:rFonts w:hint="eastAsia" w:ascii="仿宋" w:hAnsi="仿宋" w:eastAsia="仿宋" w:cs="仿宋"/>
                <w:color w:val="auto"/>
                <w:szCs w:val="24"/>
                <w:highlight w:val="none"/>
              </w:rPr>
              <w:t>                                                    </w:t>
            </w:r>
          </w:p>
          <w:p w14:paraId="4A8EE9B3">
            <w:pPr>
              <w:pStyle w:val="22"/>
              <w:spacing w:after="156" w:afterLines="0"/>
              <w:ind w:firstLine="486" w:firstLineChars="200"/>
              <w:rPr>
                <w:rFonts w:ascii="宋体" w:hAnsi="宋体" w:eastAsia="宋体" w:cs="宋体"/>
                <w:color w:val="auto"/>
                <w:sz w:val="22"/>
                <w:highlight w:val="none"/>
                <w:shd w:val="clear" w:color="auto" w:fill="FFFFFF"/>
              </w:rPr>
            </w:pPr>
            <w:r>
              <w:rPr>
                <w:rFonts w:hint="eastAsia" w:ascii="仿宋" w:hAnsi="仿宋" w:eastAsia="仿宋" w:cs="仿宋"/>
                <w:color w:val="auto"/>
                <w:szCs w:val="24"/>
                <w:highlight w:val="none"/>
              </w:rPr>
              <w:t>    </w:t>
            </w:r>
            <w:r>
              <w:rPr>
                <w:rFonts w:hint="eastAsia" w:ascii="仿宋" w:hAnsi="仿宋" w:eastAsia="仿宋" w:cs="仿宋"/>
                <w:color w:val="auto"/>
                <w:szCs w:val="24"/>
                <w:highlight w:val="none"/>
                <w:lang w:eastAsia="zh-CN"/>
              </w:rPr>
              <w:t>泰顺县包垟乡环卫保洁服务</w:t>
            </w:r>
            <w:r>
              <w:rPr>
                <w:rFonts w:hint="eastAsia" w:ascii="仿宋" w:hAnsi="仿宋" w:eastAsia="仿宋" w:cs="仿宋"/>
                <w:color w:val="auto"/>
                <w:szCs w:val="24"/>
                <w:highlight w:val="none"/>
              </w:rPr>
              <w:t>采购项目的潜在供应商应在政采云平台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http://zfcg.czt.zj.gov.cn/</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 获取（下载）采购文件，并于</w:t>
            </w:r>
            <w:r>
              <w:rPr>
                <w:rFonts w:hint="eastAsia" w:ascii="仿宋" w:hAnsi="仿宋" w:eastAsia="仿宋" w:cs="仿宋"/>
                <w:color w:val="auto"/>
                <w:szCs w:val="24"/>
                <w:highlight w:val="none"/>
                <w:lang w:eastAsia="zh-CN"/>
              </w:rPr>
              <w:t>2026年06月26日09:00</w:t>
            </w:r>
            <w:r>
              <w:rPr>
                <w:rFonts w:hint="eastAsia" w:ascii="仿宋" w:hAnsi="仿宋" w:eastAsia="仿宋" w:cs="仿宋"/>
                <w:color w:val="auto"/>
                <w:szCs w:val="24"/>
                <w:highlight w:val="none"/>
              </w:rPr>
              <w:t> （北京时间）前提交（上传）响应文件。       </w:t>
            </w:r>
          </w:p>
        </w:tc>
      </w:tr>
    </w:tbl>
    <w:p w14:paraId="1469AF70">
      <w:pPr>
        <w:pStyle w:val="22"/>
        <w:spacing w:before="38" w:after="156" w:afterLines="0"/>
        <w:rPr>
          <w:color w:val="auto"/>
          <w:szCs w:val="24"/>
          <w:highlight w:val="none"/>
        </w:rPr>
      </w:pPr>
      <w:r>
        <w:rPr>
          <w:rFonts w:hint="eastAsia" w:ascii="仿宋" w:hAnsi="仿宋" w:eastAsia="仿宋" w:cs="仿宋"/>
          <w:color w:val="auto"/>
          <w:szCs w:val="24"/>
          <w:highlight w:val="none"/>
        </w:rPr>
        <w:t xml:space="preserve">     </w:t>
      </w:r>
    </w:p>
    <w:p w14:paraId="4B5DED7F">
      <w:pPr>
        <w:pStyle w:val="22"/>
        <w:keepNext w:val="0"/>
        <w:keepLines w:val="0"/>
        <w:pageBreakBefore w:val="0"/>
        <w:widowControl/>
        <w:kinsoku/>
        <w:wordWrap/>
        <w:overflowPunct/>
        <w:topLinePunct w:val="0"/>
        <w:autoSpaceDE/>
        <w:autoSpaceDN/>
        <w:bidi w:val="0"/>
        <w:adjustRightInd/>
        <w:snapToGrid/>
        <w:spacing w:before="128" w:after="156" w:afterLines="0" w:line="300" w:lineRule="exact"/>
        <w:jc w:val="both"/>
        <w:textAlignment w:val="auto"/>
        <w:rPr>
          <w:rFonts w:ascii="黑体" w:hAnsi="宋体" w:eastAsia="黑体" w:cs="黑体"/>
          <w:color w:val="auto"/>
          <w:szCs w:val="24"/>
          <w:highlight w:val="none"/>
        </w:rPr>
      </w:pPr>
      <w:r>
        <w:rPr>
          <w:rStyle w:val="28"/>
          <w:rFonts w:ascii="黑体" w:hAnsi="宋体" w:eastAsia="黑体" w:cs="黑体"/>
          <w:color w:val="auto"/>
          <w:szCs w:val="24"/>
          <w:highlight w:val="none"/>
        </w:rPr>
        <w:t>一、项目基本情况</w:t>
      </w:r>
    </w:p>
    <w:p w14:paraId="0DFD7203">
      <w:pPr>
        <w:pStyle w:val="22"/>
        <w:keepNext w:val="0"/>
        <w:keepLines w:val="0"/>
        <w:pageBreakBefore w:val="0"/>
        <w:widowControl/>
        <w:kinsoku/>
        <w:wordWrap/>
        <w:overflowPunct/>
        <w:topLinePunct w:val="0"/>
        <w:autoSpaceDE/>
        <w:autoSpaceDN/>
        <w:bidi w:val="0"/>
        <w:adjustRightInd/>
        <w:snapToGrid/>
        <w:spacing w:before="38" w:after="156" w:afterLines="0" w:line="300" w:lineRule="exact"/>
        <w:textAlignment w:val="auto"/>
        <w:rPr>
          <w:color w:val="auto"/>
          <w:szCs w:val="24"/>
          <w:highlight w:val="none"/>
        </w:rPr>
      </w:pPr>
      <w:r>
        <w:rPr>
          <w:rFonts w:hint="eastAsia" w:ascii="仿宋" w:hAnsi="仿宋" w:eastAsia="仿宋" w:cs="仿宋"/>
          <w:color w:val="auto"/>
          <w:szCs w:val="24"/>
          <w:highlight w:val="none"/>
        </w:rPr>
        <w:t>    项目编号：</w:t>
      </w:r>
      <w:r>
        <w:rPr>
          <w:rFonts w:hint="eastAsia" w:ascii="仿宋" w:hAnsi="仿宋" w:eastAsia="仿宋" w:cs="仿宋"/>
          <w:color w:val="auto"/>
          <w:szCs w:val="24"/>
          <w:highlight w:val="none"/>
          <w:lang w:eastAsia="zh-CN"/>
        </w:rPr>
        <w:t>330329265190010000001-TSCG202606003</w:t>
      </w:r>
      <w:r>
        <w:rPr>
          <w:rFonts w:hint="eastAsia" w:ascii="仿宋" w:hAnsi="仿宋" w:eastAsia="仿宋" w:cs="仿宋"/>
          <w:color w:val="auto"/>
          <w:szCs w:val="24"/>
          <w:highlight w:val="none"/>
        </w:rPr>
        <w:t> </w:t>
      </w:r>
    </w:p>
    <w:p w14:paraId="715EF214">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color w:val="auto"/>
          <w:szCs w:val="24"/>
          <w:highlight w:val="none"/>
        </w:rPr>
      </w:pPr>
      <w:r>
        <w:rPr>
          <w:rFonts w:hint="eastAsia" w:ascii="仿宋" w:hAnsi="仿宋" w:eastAsia="仿宋" w:cs="仿宋"/>
          <w:color w:val="auto"/>
          <w:szCs w:val="24"/>
          <w:highlight w:val="none"/>
        </w:rPr>
        <w:t>    项目名称：</w:t>
      </w:r>
      <w:r>
        <w:rPr>
          <w:rFonts w:hint="eastAsia" w:ascii="仿宋" w:hAnsi="仿宋" w:eastAsia="仿宋" w:cs="仿宋"/>
          <w:color w:val="auto"/>
          <w:szCs w:val="24"/>
          <w:highlight w:val="none"/>
          <w:lang w:eastAsia="zh-CN"/>
        </w:rPr>
        <w:t>泰顺县包垟乡环卫保洁服务</w:t>
      </w:r>
      <w:r>
        <w:rPr>
          <w:rFonts w:hint="eastAsia" w:ascii="仿宋" w:hAnsi="仿宋" w:eastAsia="仿宋" w:cs="仿宋"/>
          <w:color w:val="auto"/>
          <w:szCs w:val="24"/>
          <w:highlight w:val="none"/>
        </w:rPr>
        <w:t> </w:t>
      </w:r>
    </w:p>
    <w:p w14:paraId="293C2C11">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color w:val="auto"/>
          <w:szCs w:val="24"/>
          <w:highlight w:val="none"/>
        </w:rPr>
      </w:pPr>
      <w:r>
        <w:rPr>
          <w:rFonts w:hint="eastAsia" w:ascii="仿宋" w:hAnsi="仿宋" w:eastAsia="仿宋" w:cs="仿宋"/>
          <w:color w:val="auto"/>
          <w:szCs w:val="24"/>
          <w:highlight w:val="none"/>
        </w:rPr>
        <w:t>    采购方式：竞争性磋商 </w:t>
      </w:r>
    </w:p>
    <w:p w14:paraId="3F8C1E4B">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color w:val="auto"/>
          <w:szCs w:val="24"/>
          <w:highlight w:val="none"/>
        </w:rPr>
      </w:pPr>
      <w:r>
        <w:rPr>
          <w:rFonts w:hint="eastAsia" w:ascii="仿宋" w:hAnsi="仿宋" w:eastAsia="仿宋" w:cs="仿宋"/>
          <w:color w:val="auto"/>
          <w:szCs w:val="24"/>
          <w:highlight w:val="none"/>
        </w:rPr>
        <w:t>    预算金额（元）：</w:t>
      </w:r>
      <w:r>
        <w:rPr>
          <w:rFonts w:hint="eastAsia" w:ascii="仿宋" w:hAnsi="仿宋" w:eastAsia="仿宋" w:cs="仿宋"/>
          <w:color w:val="auto"/>
          <w:szCs w:val="24"/>
          <w:highlight w:val="none"/>
          <w:lang w:eastAsia="zh-CN"/>
        </w:rPr>
        <w:t>644000 </w:t>
      </w:r>
      <w:r>
        <w:rPr>
          <w:rFonts w:hint="eastAsia" w:ascii="仿宋" w:hAnsi="仿宋" w:eastAsia="仿宋" w:cs="仿宋"/>
          <w:color w:val="auto"/>
          <w:szCs w:val="24"/>
          <w:highlight w:val="none"/>
        </w:rPr>
        <w:t> </w:t>
      </w:r>
    </w:p>
    <w:p w14:paraId="4A877953">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color w:val="auto"/>
          <w:szCs w:val="24"/>
          <w:highlight w:val="none"/>
        </w:rPr>
      </w:pPr>
      <w:r>
        <w:rPr>
          <w:rFonts w:hint="eastAsia" w:ascii="仿宋" w:hAnsi="仿宋" w:eastAsia="仿宋" w:cs="仿宋"/>
          <w:color w:val="auto"/>
          <w:szCs w:val="24"/>
          <w:highlight w:val="none"/>
        </w:rPr>
        <w:t>    最高限价（元）：</w:t>
      </w:r>
      <w:r>
        <w:rPr>
          <w:rFonts w:hint="eastAsia" w:ascii="仿宋" w:hAnsi="仿宋" w:eastAsia="仿宋" w:cs="仿宋"/>
          <w:color w:val="auto"/>
          <w:szCs w:val="24"/>
          <w:highlight w:val="none"/>
          <w:lang w:eastAsia="zh-CN"/>
        </w:rPr>
        <w:t>644000 </w:t>
      </w:r>
      <w:r>
        <w:rPr>
          <w:rFonts w:hint="eastAsia" w:ascii="仿宋" w:hAnsi="仿宋" w:eastAsia="仿宋" w:cs="仿宋"/>
          <w:color w:val="auto"/>
          <w:szCs w:val="24"/>
          <w:highlight w:val="none"/>
        </w:rPr>
        <w:t> </w:t>
      </w:r>
    </w:p>
    <w:p w14:paraId="43017721">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color w:val="auto"/>
          <w:szCs w:val="24"/>
          <w:highlight w:val="none"/>
        </w:rPr>
      </w:pPr>
      <w:r>
        <w:rPr>
          <w:rFonts w:hint="eastAsia" w:ascii="仿宋" w:hAnsi="仿宋" w:eastAsia="仿宋" w:cs="仿宋"/>
          <w:color w:val="auto"/>
          <w:szCs w:val="24"/>
          <w:highlight w:val="none"/>
        </w:rPr>
        <w:t>    采购需求：</w:t>
      </w:r>
    </w:p>
    <w:p w14:paraId="6E36ED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数量：不限       </w:t>
      </w:r>
    </w:p>
    <w:p w14:paraId="2E831DEA">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rFonts w:hint="eastAsia" w:eastAsia="仿宋"/>
          <w:color w:val="auto"/>
          <w:szCs w:val="24"/>
          <w:highlight w:val="none"/>
          <w:lang w:eastAsia="zh-CN"/>
        </w:rPr>
      </w:pPr>
      <w:r>
        <w:rPr>
          <w:rFonts w:hint="eastAsia" w:ascii="仿宋" w:hAnsi="仿宋" w:eastAsia="仿宋" w:cs="仿宋"/>
          <w:color w:val="auto"/>
          <w:szCs w:val="24"/>
          <w:highlight w:val="none"/>
        </w:rPr>
        <w:t>   预算金额（元）：</w:t>
      </w:r>
      <w:r>
        <w:rPr>
          <w:rFonts w:hint="eastAsia" w:ascii="仿宋" w:hAnsi="仿宋" w:eastAsia="仿宋" w:cs="仿宋"/>
          <w:color w:val="auto"/>
          <w:szCs w:val="24"/>
          <w:highlight w:val="none"/>
          <w:lang w:eastAsia="zh-CN"/>
        </w:rPr>
        <w:t>644000 </w:t>
      </w:r>
    </w:p>
    <w:p w14:paraId="7B4B64D1">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color w:val="auto"/>
          <w:szCs w:val="24"/>
          <w:highlight w:val="none"/>
        </w:rPr>
      </w:pPr>
      <w:r>
        <w:rPr>
          <w:rFonts w:hint="eastAsia" w:ascii="仿宋" w:hAnsi="仿宋" w:eastAsia="仿宋" w:cs="仿宋"/>
          <w:color w:val="auto"/>
          <w:szCs w:val="24"/>
          <w:highlight w:val="none"/>
        </w:rPr>
        <w:t>   单位：项 </w:t>
      </w:r>
    </w:p>
    <w:p w14:paraId="5EC30B26">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color w:val="auto"/>
          <w:szCs w:val="24"/>
          <w:highlight w:val="none"/>
        </w:rPr>
      </w:pPr>
      <w:r>
        <w:rPr>
          <w:rFonts w:hint="eastAsia" w:ascii="仿宋" w:hAnsi="仿宋" w:eastAsia="仿宋" w:cs="仿宋"/>
          <w:color w:val="auto"/>
          <w:szCs w:val="24"/>
          <w:highlight w:val="none"/>
        </w:rPr>
        <w:t>   简要规格描述：</w:t>
      </w:r>
      <w:r>
        <w:rPr>
          <w:rFonts w:hint="eastAsia" w:ascii="仿宋" w:hAnsi="仿宋" w:eastAsia="仿宋" w:cs="仿宋"/>
          <w:color w:val="auto"/>
          <w:szCs w:val="24"/>
          <w:highlight w:val="none"/>
          <w:lang w:eastAsia="zh-CN"/>
        </w:rPr>
        <w:t>泰顺县包垟乡环卫保洁服务。</w:t>
      </w:r>
      <w:r>
        <w:rPr>
          <w:rFonts w:hint="eastAsia" w:ascii="仿宋" w:hAnsi="仿宋" w:eastAsia="仿宋" w:cs="仿宋"/>
          <w:color w:val="auto"/>
          <w:szCs w:val="24"/>
          <w:highlight w:val="none"/>
        </w:rPr>
        <w:t> </w:t>
      </w:r>
    </w:p>
    <w:p w14:paraId="37BF6AF1">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color w:val="auto"/>
          <w:szCs w:val="24"/>
          <w:highlight w:val="none"/>
        </w:rPr>
      </w:pPr>
      <w:r>
        <w:rPr>
          <w:rFonts w:hint="eastAsia" w:ascii="仿宋" w:hAnsi="仿宋" w:eastAsia="仿宋" w:cs="仿宋"/>
          <w:color w:val="auto"/>
          <w:szCs w:val="24"/>
          <w:highlight w:val="none"/>
        </w:rPr>
        <w:t>   备注： </w:t>
      </w:r>
    </w:p>
    <w:p w14:paraId="6B220744">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color w:val="auto"/>
          <w:szCs w:val="24"/>
          <w:highlight w:val="none"/>
        </w:rPr>
      </w:pPr>
      <w:r>
        <w:rPr>
          <w:rFonts w:hint="eastAsia" w:ascii="仿宋" w:hAnsi="仿宋" w:eastAsia="仿宋" w:cs="仿宋"/>
          <w:color w:val="auto"/>
          <w:szCs w:val="24"/>
          <w:highlight w:val="none"/>
        </w:rPr>
        <w:t>    合同履约期限：标项 1，按采购文件规定。  </w:t>
      </w:r>
    </w:p>
    <w:p w14:paraId="55D3188B">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color w:val="auto"/>
          <w:szCs w:val="24"/>
          <w:highlight w:val="none"/>
        </w:rPr>
      </w:pPr>
      <w:r>
        <w:rPr>
          <w:rFonts w:hint="eastAsia" w:ascii="仿宋" w:hAnsi="仿宋" w:eastAsia="仿宋" w:cs="仿宋"/>
          <w:color w:val="auto"/>
          <w:szCs w:val="24"/>
          <w:highlight w:val="none"/>
        </w:rPr>
        <w:t>    本项目（</w:t>
      </w:r>
      <w:r>
        <w:rPr>
          <w:rFonts w:hint="eastAsia" w:ascii="仿宋" w:hAnsi="仿宋" w:eastAsia="仿宋" w:cs="仿宋"/>
          <w:color w:val="auto"/>
          <w:szCs w:val="24"/>
          <w:highlight w:val="none"/>
          <w:lang w:val="en-US" w:eastAsia="zh-CN"/>
        </w:rPr>
        <w:t>否</w:t>
      </w:r>
      <w:r>
        <w:rPr>
          <w:rFonts w:hint="eastAsia" w:ascii="仿宋" w:hAnsi="仿宋" w:eastAsia="仿宋" w:cs="仿宋"/>
          <w:color w:val="auto"/>
          <w:szCs w:val="24"/>
          <w:highlight w:val="none"/>
        </w:rPr>
        <w:t>）接受联合体投标。  </w:t>
      </w:r>
    </w:p>
    <w:p w14:paraId="53FE9E00">
      <w:pPr>
        <w:pStyle w:val="22"/>
        <w:keepNext w:val="0"/>
        <w:keepLines w:val="0"/>
        <w:pageBreakBefore w:val="0"/>
        <w:widowControl/>
        <w:kinsoku/>
        <w:wordWrap/>
        <w:overflowPunct/>
        <w:topLinePunct w:val="0"/>
        <w:autoSpaceDE/>
        <w:autoSpaceDN/>
        <w:bidi w:val="0"/>
        <w:adjustRightInd/>
        <w:snapToGrid/>
        <w:spacing w:before="128" w:after="156" w:afterLines="0" w:line="300" w:lineRule="exact"/>
        <w:jc w:val="both"/>
        <w:textAlignment w:val="auto"/>
        <w:rPr>
          <w:rStyle w:val="28"/>
          <w:rFonts w:ascii="黑体" w:hAnsi="宋体" w:eastAsia="黑体" w:cs="黑体"/>
          <w:color w:val="auto"/>
          <w:szCs w:val="24"/>
          <w:highlight w:val="none"/>
        </w:rPr>
      </w:pPr>
      <w:r>
        <w:rPr>
          <w:rStyle w:val="28"/>
          <w:rFonts w:ascii="黑体" w:hAnsi="宋体" w:eastAsia="黑体" w:cs="黑体"/>
          <w:color w:val="auto"/>
          <w:szCs w:val="24"/>
          <w:highlight w:val="none"/>
        </w:rPr>
        <w:t>二、申请人的资格要求：</w:t>
      </w:r>
    </w:p>
    <w:p w14:paraId="3304A59D">
      <w:pPr>
        <w:pStyle w:val="22"/>
        <w:keepNext w:val="0"/>
        <w:keepLines w:val="0"/>
        <w:pageBreakBefore w:val="0"/>
        <w:widowControl/>
        <w:kinsoku/>
        <w:wordWrap/>
        <w:overflowPunct/>
        <w:topLinePunct w:val="0"/>
        <w:autoSpaceDE/>
        <w:autoSpaceDN/>
        <w:bidi w:val="0"/>
        <w:adjustRightInd/>
        <w:snapToGrid/>
        <w:spacing w:before="38" w:after="156" w:afterLines="0" w:line="24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1.满足《中华人民共和国政府采购法》第二十二条规定；未被“信用中国”（www.creditchina.gov.cn)、中国政府采购网（www.ccgp.gov.cn）列入失信被执行人、</w:t>
      </w:r>
      <w:r>
        <w:rPr>
          <w:rFonts w:hint="eastAsia" w:ascii="仿宋" w:hAnsi="仿宋" w:eastAsia="仿宋" w:cs="仿宋"/>
          <w:color w:val="auto"/>
          <w:szCs w:val="24"/>
          <w:highlight w:val="none"/>
          <w:lang w:eastAsia="zh-CN"/>
        </w:rPr>
        <w:t>重大税收违法失信主体</w:t>
      </w:r>
      <w:r>
        <w:rPr>
          <w:rFonts w:hint="eastAsia" w:ascii="仿宋" w:hAnsi="仿宋" w:eastAsia="仿宋" w:cs="仿宋"/>
          <w:color w:val="auto"/>
          <w:szCs w:val="24"/>
          <w:highlight w:val="none"/>
        </w:rPr>
        <w:t>、政府采购严重违法失信行为记录名单。</w:t>
      </w:r>
    </w:p>
    <w:p w14:paraId="5BA9A938">
      <w:pPr>
        <w:pStyle w:val="22"/>
        <w:keepNext w:val="0"/>
        <w:keepLines w:val="0"/>
        <w:pageBreakBefore w:val="0"/>
        <w:widowControl/>
        <w:kinsoku/>
        <w:wordWrap/>
        <w:overflowPunct/>
        <w:topLinePunct w:val="0"/>
        <w:autoSpaceDE/>
        <w:autoSpaceDN/>
        <w:bidi w:val="0"/>
        <w:adjustRightInd/>
        <w:snapToGrid/>
        <w:spacing w:before="38" w:after="156" w:afterLines="0" w:line="240" w:lineRule="exact"/>
        <w:ind w:firstLine="373"/>
        <w:textAlignment w:val="auto"/>
        <w:rPr>
          <w:rFonts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2.落实政府采购政策需满足的资格要求：</w:t>
      </w:r>
      <w:r>
        <w:rPr>
          <w:rFonts w:hint="eastAsia" w:ascii="仿宋" w:hAnsi="仿宋" w:eastAsia="仿宋" w:cs="仿宋"/>
          <w:b w:val="0"/>
          <w:bCs w:val="0"/>
          <w:color w:val="auto"/>
          <w:sz w:val="24"/>
          <w:szCs w:val="24"/>
          <w:highlight w:val="none"/>
          <w:u w:val="none"/>
          <w:lang w:val="en-US" w:eastAsia="zh-CN"/>
        </w:rPr>
        <w:t>本项目专门面向中小企业采购，投标供应商须为中小企业</w:t>
      </w:r>
      <w:r>
        <w:rPr>
          <w:rFonts w:hint="eastAsia" w:ascii="仿宋" w:hAnsi="仿宋" w:eastAsia="仿宋" w:cs="仿宋"/>
          <w:color w:val="auto"/>
          <w:szCs w:val="24"/>
          <w:highlight w:val="none"/>
          <w:lang w:val="en-US" w:eastAsia="zh-CN"/>
        </w:rPr>
        <w:t>。</w:t>
      </w:r>
    </w:p>
    <w:p w14:paraId="772562C3">
      <w:pPr>
        <w:pStyle w:val="22"/>
        <w:keepNext w:val="0"/>
        <w:keepLines w:val="0"/>
        <w:pageBreakBefore w:val="0"/>
        <w:widowControl/>
        <w:kinsoku/>
        <w:wordWrap/>
        <w:overflowPunct/>
        <w:topLinePunct w:val="0"/>
        <w:autoSpaceDE/>
        <w:autoSpaceDN/>
        <w:bidi w:val="0"/>
        <w:adjustRightInd/>
        <w:snapToGrid/>
        <w:spacing w:before="38" w:after="156" w:afterLines="0" w:line="240" w:lineRule="exact"/>
        <w:ind w:firstLine="373"/>
        <w:textAlignment w:val="auto"/>
        <w:rPr>
          <w:color w:val="auto"/>
          <w:szCs w:val="24"/>
          <w:highlight w:val="none"/>
        </w:rPr>
      </w:pPr>
      <w:r>
        <w:rPr>
          <w:rFonts w:hint="eastAsia" w:ascii="仿宋" w:hAnsi="仿宋" w:eastAsia="仿宋" w:cs="仿宋"/>
          <w:color w:val="auto"/>
          <w:szCs w:val="24"/>
          <w:highlight w:val="none"/>
          <w:lang w:val="en-US" w:eastAsia="zh-CN"/>
        </w:rPr>
        <w:t>3.本项目的特定资格要求：无。</w:t>
      </w:r>
    </w:p>
    <w:p w14:paraId="5406C5FB">
      <w:pPr>
        <w:pStyle w:val="22"/>
        <w:keepNext w:val="0"/>
        <w:keepLines w:val="0"/>
        <w:pageBreakBefore w:val="0"/>
        <w:widowControl/>
        <w:kinsoku/>
        <w:wordWrap/>
        <w:overflowPunct/>
        <w:topLinePunct w:val="0"/>
        <w:autoSpaceDE/>
        <w:autoSpaceDN/>
        <w:bidi w:val="0"/>
        <w:adjustRightInd/>
        <w:snapToGrid/>
        <w:spacing w:before="128" w:after="156" w:afterLines="0" w:line="340" w:lineRule="exact"/>
        <w:jc w:val="both"/>
        <w:textAlignment w:val="auto"/>
        <w:rPr>
          <w:rFonts w:ascii="黑体" w:hAnsi="宋体" w:eastAsia="黑体" w:cs="黑体"/>
          <w:color w:val="auto"/>
          <w:szCs w:val="24"/>
          <w:highlight w:val="none"/>
        </w:rPr>
      </w:pPr>
      <w:r>
        <w:rPr>
          <w:rStyle w:val="28"/>
          <w:rFonts w:ascii="黑体" w:hAnsi="宋体" w:eastAsia="黑体" w:cs="黑体"/>
          <w:color w:val="auto"/>
          <w:szCs w:val="24"/>
          <w:highlight w:val="none"/>
        </w:rPr>
        <w:t>三、获取（下载）采购文件</w:t>
      </w:r>
    </w:p>
    <w:p w14:paraId="7015069C">
      <w:pPr>
        <w:pStyle w:val="22"/>
        <w:keepNext w:val="0"/>
        <w:keepLines w:val="0"/>
        <w:pageBreakBefore w:val="0"/>
        <w:widowControl/>
        <w:kinsoku/>
        <w:wordWrap/>
        <w:overflowPunct/>
        <w:topLinePunct w:val="0"/>
        <w:autoSpaceDE/>
        <w:autoSpaceDN/>
        <w:bidi w:val="0"/>
        <w:adjustRightInd/>
        <w:snapToGrid/>
        <w:spacing w:before="38" w:after="156" w:afterLines="0" w:line="340" w:lineRule="exact"/>
        <w:textAlignment w:val="auto"/>
        <w:rPr>
          <w:color w:val="auto"/>
          <w:szCs w:val="24"/>
          <w:highlight w:val="none"/>
        </w:rPr>
      </w:pPr>
      <w:r>
        <w:rPr>
          <w:rFonts w:hint="eastAsia" w:ascii="仿宋" w:hAnsi="仿宋" w:eastAsia="仿宋" w:cs="仿宋"/>
          <w:color w:val="auto"/>
          <w:szCs w:val="24"/>
          <w:highlight w:val="none"/>
        </w:rPr>
        <w:t>    时间：/至</w:t>
      </w:r>
      <w:r>
        <w:rPr>
          <w:rFonts w:hint="eastAsia" w:ascii="仿宋" w:hAnsi="仿宋" w:eastAsia="仿宋" w:cs="仿宋"/>
          <w:color w:val="auto"/>
          <w:szCs w:val="24"/>
          <w:highlight w:val="none"/>
          <w:lang w:eastAsia="zh-CN"/>
        </w:rPr>
        <w:t>2026年06月</w:t>
      </w:r>
      <w:r>
        <w:rPr>
          <w:rFonts w:hint="eastAsia" w:ascii="仿宋" w:hAnsi="仿宋" w:eastAsia="仿宋" w:cs="仿宋"/>
          <w:color w:val="auto"/>
          <w:szCs w:val="24"/>
          <w:highlight w:val="none"/>
          <w:lang w:val="en-US" w:eastAsia="zh-CN"/>
        </w:rPr>
        <w:t>26</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rPr>
        <w:t>，每天上午00:00至12:00，下午12:00至23:59（北京时间，线上获取法定节假日均可，线下获取文件法定节假日除外）</w:t>
      </w:r>
    </w:p>
    <w:p w14:paraId="1E9CC51E">
      <w:pPr>
        <w:pStyle w:val="22"/>
        <w:keepNext w:val="0"/>
        <w:keepLines w:val="0"/>
        <w:pageBreakBefore w:val="0"/>
        <w:widowControl/>
        <w:kinsoku/>
        <w:wordWrap/>
        <w:overflowPunct/>
        <w:topLinePunct w:val="0"/>
        <w:autoSpaceDE/>
        <w:autoSpaceDN/>
        <w:bidi w:val="0"/>
        <w:adjustRightInd/>
        <w:snapToGrid/>
        <w:spacing w:before="38" w:after="156" w:afterLines="0" w:line="340" w:lineRule="exact"/>
        <w:textAlignment w:val="auto"/>
        <w:rPr>
          <w:color w:val="auto"/>
          <w:szCs w:val="24"/>
          <w:highlight w:val="none"/>
        </w:rPr>
      </w:pPr>
      <w:r>
        <w:rPr>
          <w:rFonts w:hint="eastAsia" w:ascii="仿宋" w:hAnsi="仿宋" w:eastAsia="仿宋" w:cs="仿宋"/>
          <w:color w:val="auto"/>
          <w:szCs w:val="24"/>
          <w:highlight w:val="none"/>
        </w:rPr>
        <w:t>    地点（网址）：政采云平台http://zfcg.czt.zj.gov.cn/  </w:t>
      </w:r>
    </w:p>
    <w:p w14:paraId="67F617E4">
      <w:pPr>
        <w:pStyle w:val="22"/>
        <w:keepNext w:val="0"/>
        <w:keepLines w:val="0"/>
        <w:pageBreakBefore w:val="0"/>
        <w:widowControl/>
        <w:kinsoku/>
        <w:wordWrap/>
        <w:overflowPunct/>
        <w:topLinePunct w:val="0"/>
        <w:autoSpaceDE/>
        <w:autoSpaceDN/>
        <w:bidi w:val="0"/>
        <w:adjustRightInd/>
        <w:snapToGrid/>
        <w:spacing w:before="38" w:after="156" w:afterLines="0" w:line="340" w:lineRule="exact"/>
        <w:textAlignment w:val="auto"/>
        <w:rPr>
          <w:color w:val="auto"/>
          <w:szCs w:val="24"/>
          <w:highlight w:val="none"/>
        </w:rPr>
      </w:pPr>
      <w:r>
        <w:rPr>
          <w:rFonts w:hint="eastAsia" w:ascii="仿宋" w:hAnsi="仿宋" w:eastAsia="仿宋" w:cs="仿宋"/>
          <w:color w:val="auto"/>
          <w:szCs w:val="24"/>
          <w:highlight w:val="none"/>
        </w:rPr>
        <w:t>    方式：供应商登录政采云平台http://zfcg.czt.zj.gov.cn/ 在线申请获取采购文件（进入“项目采购”应用，在获取采购文件菜单中选择项目，申请获取采购文件） </w:t>
      </w:r>
    </w:p>
    <w:p w14:paraId="56D10B43">
      <w:pPr>
        <w:pStyle w:val="22"/>
        <w:keepNext w:val="0"/>
        <w:keepLines w:val="0"/>
        <w:pageBreakBefore w:val="0"/>
        <w:widowControl/>
        <w:kinsoku/>
        <w:wordWrap/>
        <w:overflowPunct/>
        <w:topLinePunct w:val="0"/>
        <w:autoSpaceDE/>
        <w:autoSpaceDN/>
        <w:bidi w:val="0"/>
        <w:adjustRightInd/>
        <w:snapToGrid/>
        <w:spacing w:before="38" w:after="156" w:afterLines="0" w:line="340" w:lineRule="exact"/>
        <w:textAlignment w:val="auto"/>
        <w:rPr>
          <w:color w:val="auto"/>
          <w:szCs w:val="24"/>
          <w:highlight w:val="none"/>
        </w:rPr>
      </w:pPr>
      <w:r>
        <w:rPr>
          <w:rFonts w:hint="eastAsia" w:ascii="仿宋" w:hAnsi="仿宋" w:eastAsia="仿宋" w:cs="仿宋"/>
          <w:color w:val="auto"/>
          <w:szCs w:val="24"/>
          <w:highlight w:val="none"/>
        </w:rPr>
        <w:t>    售价（元）：0 </w:t>
      </w:r>
    </w:p>
    <w:p w14:paraId="729637CF">
      <w:pPr>
        <w:pStyle w:val="22"/>
        <w:keepNext w:val="0"/>
        <w:keepLines w:val="0"/>
        <w:pageBreakBefore w:val="0"/>
        <w:widowControl/>
        <w:kinsoku/>
        <w:wordWrap/>
        <w:overflowPunct/>
        <w:topLinePunct w:val="0"/>
        <w:autoSpaceDE/>
        <w:autoSpaceDN/>
        <w:bidi w:val="0"/>
        <w:adjustRightInd/>
        <w:snapToGrid/>
        <w:spacing w:before="128" w:after="156" w:afterLines="0" w:line="340" w:lineRule="exact"/>
        <w:jc w:val="both"/>
        <w:textAlignment w:val="auto"/>
        <w:rPr>
          <w:rStyle w:val="28"/>
          <w:rFonts w:ascii="黑体" w:hAnsi="宋体" w:eastAsia="黑体" w:cs="黑体"/>
          <w:color w:val="auto"/>
          <w:szCs w:val="24"/>
          <w:highlight w:val="none"/>
        </w:rPr>
      </w:pPr>
      <w:r>
        <w:rPr>
          <w:rStyle w:val="28"/>
          <w:rFonts w:ascii="黑体" w:hAnsi="宋体" w:eastAsia="黑体" w:cs="黑体"/>
          <w:color w:val="auto"/>
          <w:szCs w:val="24"/>
          <w:highlight w:val="none"/>
        </w:rPr>
        <w:t>四、响应文件提交（上传） </w:t>
      </w:r>
    </w:p>
    <w:p w14:paraId="1DDBFD0D">
      <w:pPr>
        <w:pStyle w:val="22"/>
        <w:keepNext w:val="0"/>
        <w:keepLines w:val="0"/>
        <w:pageBreakBefore w:val="0"/>
        <w:widowControl/>
        <w:kinsoku/>
        <w:wordWrap/>
        <w:overflowPunct/>
        <w:topLinePunct w:val="0"/>
        <w:autoSpaceDE/>
        <w:autoSpaceDN/>
        <w:bidi w:val="0"/>
        <w:adjustRightInd/>
        <w:snapToGrid/>
        <w:spacing w:before="38" w:after="156" w:afterLines="0" w:line="340" w:lineRule="exact"/>
        <w:textAlignment w:val="auto"/>
        <w:rPr>
          <w:color w:val="auto"/>
          <w:szCs w:val="24"/>
          <w:highlight w:val="none"/>
        </w:rPr>
      </w:pPr>
      <w:r>
        <w:rPr>
          <w:rFonts w:hint="eastAsia" w:ascii="仿宋" w:hAnsi="仿宋" w:eastAsia="仿宋" w:cs="仿宋"/>
          <w:color w:val="auto"/>
          <w:szCs w:val="24"/>
          <w:highlight w:val="none"/>
        </w:rPr>
        <w:t>    截止时间：</w:t>
      </w:r>
      <w:r>
        <w:rPr>
          <w:rFonts w:hint="eastAsia" w:ascii="仿宋" w:hAnsi="仿宋" w:eastAsia="仿宋" w:cs="仿宋"/>
          <w:color w:val="auto"/>
          <w:szCs w:val="24"/>
          <w:highlight w:val="none"/>
          <w:lang w:eastAsia="zh-CN"/>
        </w:rPr>
        <w:t>2026年06月26日09:00</w:t>
      </w:r>
      <w:r>
        <w:rPr>
          <w:rFonts w:hint="eastAsia" w:ascii="仿宋" w:hAnsi="仿宋" w:eastAsia="仿宋" w:cs="仿宋"/>
          <w:color w:val="auto"/>
          <w:szCs w:val="24"/>
          <w:highlight w:val="none"/>
        </w:rPr>
        <w:t> （北京时间）</w:t>
      </w:r>
    </w:p>
    <w:p w14:paraId="3AE49848">
      <w:pPr>
        <w:pStyle w:val="22"/>
        <w:keepNext w:val="0"/>
        <w:keepLines w:val="0"/>
        <w:pageBreakBefore w:val="0"/>
        <w:widowControl/>
        <w:kinsoku/>
        <w:wordWrap/>
        <w:overflowPunct/>
        <w:topLinePunct w:val="0"/>
        <w:autoSpaceDE/>
        <w:autoSpaceDN/>
        <w:bidi w:val="0"/>
        <w:adjustRightInd/>
        <w:snapToGrid/>
        <w:spacing w:before="38" w:after="156" w:afterLines="0" w:line="340" w:lineRule="exact"/>
        <w:textAlignment w:val="auto"/>
        <w:rPr>
          <w:color w:val="auto"/>
          <w:szCs w:val="24"/>
          <w:highlight w:val="none"/>
        </w:rPr>
      </w:pPr>
      <w:r>
        <w:rPr>
          <w:rFonts w:hint="eastAsia" w:ascii="仿宋" w:hAnsi="仿宋" w:eastAsia="仿宋" w:cs="仿宋"/>
          <w:color w:val="auto"/>
          <w:szCs w:val="24"/>
          <w:highlight w:val="none"/>
        </w:rPr>
        <w:t>    地点（网址）：“政府采购云平台（http://zfcg.czt.zj.gov.cn/）”在线递交 </w:t>
      </w:r>
    </w:p>
    <w:p w14:paraId="72A90095">
      <w:pPr>
        <w:pStyle w:val="22"/>
        <w:keepNext w:val="0"/>
        <w:keepLines w:val="0"/>
        <w:pageBreakBefore w:val="0"/>
        <w:widowControl/>
        <w:kinsoku/>
        <w:wordWrap/>
        <w:overflowPunct/>
        <w:topLinePunct w:val="0"/>
        <w:autoSpaceDE/>
        <w:autoSpaceDN/>
        <w:bidi w:val="0"/>
        <w:adjustRightInd/>
        <w:snapToGrid/>
        <w:spacing w:before="128" w:after="156" w:afterLines="0" w:line="340" w:lineRule="exact"/>
        <w:jc w:val="both"/>
        <w:textAlignment w:val="auto"/>
        <w:rPr>
          <w:rStyle w:val="28"/>
          <w:rFonts w:ascii="黑体" w:hAnsi="宋体" w:eastAsia="黑体" w:cs="黑体"/>
          <w:color w:val="auto"/>
          <w:szCs w:val="24"/>
          <w:highlight w:val="none"/>
        </w:rPr>
      </w:pPr>
      <w:r>
        <w:rPr>
          <w:rStyle w:val="28"/>
          <w:rFonts w:ascii="黑体" w:hAnsi="宋体" w:eastAsia="黑体" w:cs="黑体"/>
          <w:color w:val="auto"/>
          <w:szCs w:val="24"/>
          <w:highlight w:val="none"/>
        </w:rPr>
        <w:t>五、响应文件开启 </w:t>
      </w:r>
    </w:p>
    <w:p w14:paraId="417A7FAA">
      <w:pPr>
        <w:pStyle w:val="22"/>
        <w:keepNext w:val="0"/>
        <w:keepLines w:val="0"/>
        <w:pageBreakBefore w:val="0"/>
        <w:widowControl/>
        <w:kinsoku/>
        <w:wordWrap/>
        <w:overflowPunct/>
        <w:topLinePunct w:val="0"/>
        <w:autoSpaceDE/>
        <w:autoSpaceDN/>
        <w:bidi w:val="0"/>
        <w:adjustRightInd/>
        <w:snapToGrid/>
        <w:spacing w:before="38" w:after="156" w:afterLines="0" w:line="340" w:lineRule="exact"/>
        <w:textAlignment w:val="auto"/>
        <w:rPr>
          <w:color w:val="auto"/>
          <w:szCs w:val="24"/>
          <w:highlight w:val="none"/>
        </w:rPr>
      </w:pPr>
      <w:r>
        <w:rPr>
          <w:rFonts w:hint="eastAsia" w:ascii="仿宋" w:hAnsi="仿宋" w:eastAsia="仿宋" w:cs="仿宋"/>
          <w:color w:val="auto"/>
          <w:szCs w:val="24"/>
          <w:highlight w:val="none"/>
        </w:rPr>
        <w:t>    开启时间：</w:t>
      </w:r>
      <w:r>
        <w:rPr>
          <w:rFonts w:hint="eastAsia" w:ascii="仿宋" w:hAnsi="仿宋" w:eastAsia="仿宋" w:cs="仿宋"/>
          <w:color w:val="auto"/>
          <w:szCs w:val="24"/>
          <w:highlight w:val="none"/>
          <w:lang w:eastAsia="zh-CN"/>
        </w:rPr>
        <w:t>2026年06月26日09:00</w:t>
      </w:r>
      <w:r>
        <w:rPr>
          <w:rFonts w:hint="eastAsia" w:ascii="仿宋" w:hAnsi="仿宋" w:eastAsia="仿宋" w:cs="仿宋"/>
          <w:color w:val="auto"/>
          <w:szCs w:val="24"/>
          <w:highlight w:val="none"/>
        </w:rPr>
        <w:t> （北京时间）</w:t>
      </w:r>
    </w:p>
    <w:p w14:paraId="7480A617">
      <w:pPr>
        <w:pStyle w:val="22"/>
        <w:keepNext w:val="0"/>
        <w:keepLines w:val="0"/>
        <w:pageBreakBefore w:val="0"/>
        <w:widowControl/>
        <w:kinsoku/>
        <w:wordWrap/>
        <w:overflowPunct/>
        <w:topLinePunct w:val="0"/>
        <w:autoSpaceDE/>
        <w:autoSpaceDN/>
        <w:bidi w:val="0"/>
        <w:adjustRightInd/>
        <w:snapToGrid/>
        <w:spacing w:before="38" w:after="156" w:afterLines="0" w:line="340" w:lineRule="exact"/>
        <w:textAlignment w:val="auto"/>
        <w:rPr>
          <w:color w:val="auto"/>
          <w:szCs w:val="24"/>
          <w:highlight w:val="none"/>
        </w:rPr>
      </w:pPr>
      <w:r>
        <w:rPr>
          <w:rFonts w:hint="eastAsia" w:ascii="仿宋" w:hAnsi="仿宋" w:eastAsia="仿宋" w:cs="仿宋"/>
          <w:color w:val="auto"/>
          <w:szCs w:val="24"/>
          <w:highlight w:val="none"/>
        </w:rPr>
        <w:t>    地点（网址）：“政府采购云平台（http://zfcg.czt.zj.gov.cn/）”在线开标 </w:t>
      </w:r>
    </w:p>
    <w:p w14:paraId="568624EA">
      <w:pPr>
        <w:pStyle w:val="22"/>
        <w:keepNext w:val="0"/>
        <w:keepLines w:val="0"/>
        <w:pageBreakBefore w:val="0"/>
        <w:widowControl/>
        <w:kinsoku/>
        <w:wordWrap/>
        <w:overflowPunct/>
        <w:topLinePunct w:val="0"/>
        <w:autoSpaceDE/>
        <w:autoSpaceDN/>
        <w:bidi w:val="0"/>
        <w:adjustRightInd/>
        <w:snapToGrid/>
        <w:spacing w:before="128" w:after="156" w:afterLines="0" w:line="340" w:lineRule="exact"/>
        <w:jc w:val="both"/>
        <w:textAlignment w:val="auto"/>
        <w:rPr>
          <w:rStyle w:val="28"/>
          <w:rFonts w:ascii="黑体" w:hAnsi="宋体" w:eastAsia="黑体" w:cs="黑体"/>
          <w:color w:val="auto"/>
          <w:szCs w:val="24"/>
          <w:highlight w:val="none"/>
        </w:rPr>
      </w:pPr>
      <w:r>
        <w:rPr>
          <w:rStyle w:val="28"/>
          <w:rFonts w:ascii="黑体" w:hAnsi="宋体" w:eastAsia="黑体" w:cs="黑体"/>
          <w:color w:val="auto"/>
          <w:szCs w:val="24"/>
          <w:highlight w:val="none"/>
        </w:rPr>
        <w:t>六、公告期限</w:t>
      </w:r>
    </w:p>
    <w:p w14:paraId="3544D69D">
      <w:pPr>
        <w:pStyle w:val="22"/>
        <w:keepNext w:val="0"/>
        <w:keepLines w:val="0"/>
        <w:pageBreakBefore w:val="0"/>
        <w:widowControl/>
        <w:kinsoku/>
        <w:wordWrap/>
        <w:overflowPunct/>
        <w:topLinePunct w:val="0"/>
        <w:autoSpaceDE/>
        <w:autoSpaceDN/>
        <w:bidi w:val="0"/>
        <w:adjustRightInd/>
        <w:snapToGrid/>
        <w:spacing w:before="38" w:after="156" w:afterLines="0" w:line="340" w:lineRule="exact"/>
        <w:textAlignment w:val="auto"/>
        <w:rPr>
          <w:color w:val="auto"/>
          <w:szCs w:val="24"/>
          <w:highlight w:val="none"/>
        </w:rPr>
      </w:pPr>
      <w:r>
        <w:rPr>
          <w:rFonts w:hint="eastAsia" w:ascii="仿宋" w:hAnsi="仿宋" w:eastAsia="仿宋" w:cs="仿宋"/>
          <w:color w:val="auto"/>
          <w:szCs w:val="24"/>
          <w:highlight w:val="none"/>
        </w:rPr>
        <w:t>    自本公告发布之日起3个工作日。</w:t>
      </w:r>
    </w:p>
    <w:p w14:paraId="2D19B679">
      <w:pPr>
        <w:pStyle w:val="22"/>
        <w:keepNext w:val="0"/>
        <w:keepLines w:val="0"/>
        <w:pageBreakBefore w:val="0"/>
        <w:widowControl/>
        <w:kinsoku/>
        <w:wordWrap/>
        <w:overflowPunct/>
        <w:topLinePunct w:val="0"/>
        <w:autoSpaceDE/>
        <w:autoSpaceDN/>
        <w:bidi w:val="0"/>
        <w:adjustRightInd/>
        <w:snapToGrid/>
        <w:spacing w:before="128" w:after="156" w:afterLines="0" w:line="340" w:lineRule="exact"/>
        <w:jc w:val="both"/>
        <w:textAlignment w:val="auto"/>
        <w:rPr>
          <w:rStyle w:val="28"/>
          <w:rFonts w:ascii="黑体" w:hAnsi="宋体" w:eastAsia="黑体" w:cs="黑体"/>
          <w:color w:val="auto"/>
          <w:szCs w:val="24"/>
          <w:highlight w:val="none"/>
        </w:rPr>
      </w:pPr>
      <w:r>
        <w:rPr>
          <w:rStyle w:val="28"/>
          <w:rFonts w:ascii="黑体" w:hAnsi="宋体" w:eastAsia="黑体" w:cs="黑体"/>
          <w:color w:val="auto"/>
          <w:szCs w:val="24"/>
          <w:highlight w:val="none"/>
        </w:rPr>
        <w:t>七、其他补充事宜 </w:t>
      </w:r>
    </w:p>
    <w:p w14:paraId="11EC3A19">
      <w:pPr>
        <w:pStyle w:val="22"/>
        <w:keepNext w:val="0"/>
        <w:keepLines w:val="0"/>
        <w:pageBreakBefore w:val="0"/>
        <w:widowControl/>
        <w:kinsoku/>
        <w:wordWrap/>
        <w:overflowPunct/>
        <w:topLinePunct w:val="0"/>
        <w:autoSpaceDE/>
        <w:autoSpaceDN/>
        <w:bidi w:val="0"/>
        <w:adjustRightInd/>
        <w:snapToGrid/>
        <w:spacing w:before="128" w:beforeAutospacing="0" w:after="128" w:afterLines="0" w:afterAutospacing="0" w:line="340" w:lineRule="exact"/>
        <w:ind w:firstLine="42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1.《浙江省财政厅关于进一步发挥政府采购政策功能全力推动经济稳进提质的通知》 （浙财采监（2022）3号</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浙江省财政厅关于进一步促进政府采购公平竞争打造最优营商环境的通知》（浙财采监（2021）22号）已分别于2022年1月29日和2022年2月1日开始实施，此前有关规定与上述文件内容不一致的，按上述文件要求执行。</w:t>
      </w:r>
    </w:p>
    <w:p w14:paraId="1950D976">
      <w:pPr>
        <w:pStyle w:val="22"/>
        <w:keepNext w:val="0"/>
        <w:keepLines w:val="0"/>
        <w:pageBreakBefore w:val="0"/>
        <w:widowControl/>
        <w:kinsoku/>
        <w:wordWrap/>
        <w:overflowPunct/>
        <w:topLinePunct w:val="0"/>
        <w:autoSpaceDE/>
        <w:autoSpaceDN/>
        <w:bidi w:val="0"/>
        <w:adjustRightInd/>
        <w:snapToGrid/>
        <w:spacing w:before="128" w:beforeAutospacing="0" w:after="128" w:afterLines="0" w:afterAutospacing="0" w:line="340" w:lineRule="exact"/>
        <w:ind w:firstLine="42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7400C5DB">
      <w:pPr>
        <w:pStyle w:val="22"/>
        <w:keepNext w:val="0"/>
        <w:keepLines w:val="0"/>
        <w:pageBreakBefore w:val="0"/>
        <w:widowControl/>
        <w:kinsoku/>
        <w:wordWrap/>
        <w:overflowPunct/>
        <w:topLinePunct w:val="0"/>
        <w:autoSpaceDE/>
        <w:autoSpaceDN/>
        <w:bidi w:val="0"/>
        <w:adjustRightInd/>
        <w:snapToGrid/>
        <w:spacing w:before="38" w:beforeAutospacing="0" w:after="38" w:afterLines="0" w:afterAutospacing="0" w:line="340" w:lineRule="exact"/>
        <w:ind w:firstLine="420"/>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仿宋" w:hAnsi="仿宋" w:eastAsia="仿宋" w:cs="仿宋"/>
        </w:rPr>
        <w:t>供应商</w:t>
      </w:r>
      <w:r>
        <w:rPr>
          <w:rFonts w:hint="eastAsia" w:ascii="仿宋" w:hAnsi="仿宋" w:eastAsia="仿宋" w:cs="仿宋"/>
          <w:lang w:val="en-US" w:eastAsia="zh-CN"/>
        </w:rPr>
        <w:t>须</w:t>
      </w:r>
      <w:r>
        <w:rPr>
          <w:rFonts w:hint="eastAsia" w:ascii="仿宋" w:hAnsi="仿宋" w:eastAsia="仿宋" w:cs="仿宋"/>
        </w:rPr>
        <w:t>在法定质疑期内一次性提出针对同一采购程序环节的质疑</w:t>
      </w:r>
      <w:r>
        <w:rPr>
          <w:rFonts w:hint="eastAsia" w:ascii="仿宋" w:hAnsi="仿宋" w:eastAsia="仿宋" w:cs="仿宋"/>
          <w:lang w:eastAsia="zh-CN"/>
        </w:rPr>
        <w:t>。</w:t>
      </w:r>
      <w:r>
        <w:rPr>
          <w:rFonts w:hint="eastAsia" w:ascii="仿宋" w:hAnsi="仿宋" w:eastAsia="仿宋" w:cs="仿宋"/>
          <w:color w:val="auto"/>
          <w:sz w:val="24"/>
          <w:szCs w:val="24"/>
          <w:highlight w:val="none"/>
        </w:rPr>
        <w:t>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r>
        <w:rPr>
          <w:rFonts w:hint="eastAsia" w:ascii="仿宋" w:hAnsi="仿宋" w:eastAsia="仿宋" w:cs="仿宋"/>
          <w:color w:val="auto"/>
          <w:sz w:val="24"/>
          <w:szCs w:val="24"/>
          <w:highlight w:val="none"/>
          <w:lang w:bidi="ar-SA"/>
        </w:rPr>
        <w:t>   </w:t>
      </w:r>
    </w:p>
    <w:p w14:paraId="20BD9EDF">
      <w:pPr>
        <w:pStyle w:val="22"/>
        <w:keepNext w:val="0"/>
        <w:keepLines w:val="0"/>
        <w:pageBreakBefore w:val="0"/>
        <w:widowControl/>
        <w:kinsoku/>
        <w:wordWrap/>
        <w:overflowPunct/>
        <w:topLinePunct w:val="0"/>
        <w:autoSpaceDE/>
        <w:autoSpaceDN/>
        <w:bidi w:val="0"/>
        <w:adjustRightInd/>
        <w:snapToGrid/>
        <w:spacing w:before="128" w:beforeAutospacing="0" w:after="128" w:afterLines="0" w:afterAutospacing="0" w:line="340" w:lineRule="exact"/>
        <w:ind w:firstLine="420"/>
        <w:jc w:val="both"/>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4.其他事项：</w:t>
      </w:r>
    </w:p>
    <w:p w14:paraId="149FB047">
      <w:pPr>
        <w:pStyle w:val="22"/>
        <w:keepNext w:val="0"/>
        <w:keepLines w:val="0"/>
        <w:pageBreakBefore w:val="0"/>
        <w:widowControl/>
        <w:kinsoku/>
        <w:wordWrap/>
        <w:overflowPunct/>
        <w:topLinePunct w:val="0"/>
        <w:autoSpaceDE/>
        <w:autoSpaceDN/>
        <w:bidi w:val="0"/>
        <w:adjustRightInd/>
        <w:snapToGrid/>
        <w:spacing w:before="38" w:beforeAutospacing="0" w:after="38" w:afterLines="0" w:afterAutospacing="0" w:line="34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w:t>
      </w:r>
      <w:r>
        <w:rPr>
          <w:rFonts w:hint="eastAsia" w:ascii="仿宋" w:hAnsi="仿宋" w:eastAsia="仿宋" w:cs="仿宋"/>
          <w:color w:val="auto"/>
          <w:sz w:val="24"/>
          <w:szCs w:val="24"/>
          <w:highlight w:val="none"/>
        </w:rPr>
        <w:t>本项目采用政府采购电子化交易。</w:t>
      </w:r>
    </w:p>
    <w:p w14:paraId="1DF6F05C">
      <w:pPr>
        <w:pStyle w:val="22"/>
        <w:keepNext w:val="0"/>
        <w:keepLines w:val="0"/>
        <w:pageBreakBefore w:val="0"/>
        <w:widowControl/>
        <w:kinsoku/>
        <w:wordWrap/>
        <w:overflowPunct/>
        <w:topLinePunct w:val="0"/>
        <w:autoSpaceDE/>
        <w:autoSpaceDN/>
        <w:bidi w:val="0"/>
        <w:adjustRightInd/>
        <w:snapToGrid/>
        <w:spacing w:before="38" w:beforeAutospacing="0" w:after="38" w:afterLines="0" w:afterAutospacing="0" w:line="34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.2为确保网上操作合法、有效和安全，供应商应当在投标截止时间前，</w:t>
      </w:r>
      <w:r>
        <w:rPr>
          <w:rFonts w:hint="eastAsia" w:ascii="仿宋" w:hAnsi="仿宋" w:eastAsia="仿宋" w:cs="仿宋"/>
          <w:color w:val="auto"/>
          <w:sz w:val="24"/>
          <w:szCs w:val="24"/>
          <w:highlight w:val="none"/>
          <w:lang w:val="en-US" w:eastAsia="zh-CN"/>
        </w:rPr>
        <w:t>注册</w:t>
      </w:r>
      <w:r>
        <w:rPr>
          <w:rFonts w:hint="eastAsia" w:ascii="仿宋" w:hAnsi="仿宋" w:eastAsia="仿宋" w:cs="仿宋"/>
          <w:color w:val="auto"/>
          <w:sz w:val="24"/>
          <w:szCs w:val="24"/>
          <w:highlight w:val="none"/>
        </w:rPr>
        <w:t>政府采购云平台（供应商注册页面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https://middle.zcygov.cn/settle-front/#/registry）</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完成电子交易平台上的CA数字证书办理（办理流程详见</w:t>
      </w:r>
      <w:r>
        <w:rPr>
          <w:rFonts w:hint="eastAsia" w:ascii="仿宋" w:hAnsi="仿宋" w:eastAsia="仿宋" w:cs="仿宋"/>
          <w:color w:val="auto"/>
          <w:sz w:val="24"/>
          <w:szCs w:val="24"/>
          <w:highlight w:val="none"/>
        </w:rPr>
        <w:fldChar w:fldCharType="begin"/>
      </w:r>
      <w:r>
        <w:rPr>
          <w:color w:val="auto"/>
          <w:highlight w:val="none"/>
        </w:rPr>
        <w:instrText xml:space="preserve">HYPERLINK "http://zfcg.czt.zj.gov.cn/）。"</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http://zfcg.czt.zj.gov.cn/）。</w:t>
      </w:r>
      <w:r>
        <w:rPr>
          <w:rFonts w:hint="eastAsia" w:ascii="仿宋" w:hAnsi="仿宋" w:eastAsia="仿宋" w:cs="仿宋"/>
          <w:color w:val="auto"/>
          <w:sz w:val="24"/>
          <w:szCs w:val="24"/>
          <w:highlight w:val="none"/>
        </w:rPr>
        <w:fldChar w:fldCharType="end"/>
      </w:r>
    </w:p>
    <w:p w14:paraId="054B3E38">
      <w:pPr>
        <w:pStyle w:val="22"/>
        <w:keepNext w:val="0"/>
        <w:keepLines w:val="0"/>
        <w:pageBreakBefore w:val="0"/>
        <w:widowControl/>
        <w:kinsoku/>
        <w:wordWrap/>
        <w:overflowPunct/>
        <w:topLinePunct w:val="0"/>
        <w:autoSpaceDE/>
        <w:autoSpaceDN/>
        <w:bidi w:val="0"/>
        <w:adjustRightInd/>
        <w:snapToGrid/>
        <w:spacing w:before="38" w:beforeAutospacing="0" w:after="38" w:afterLines="0" w:afterAutospacing="0" w:line="34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.3投标人应安装“政采云投标客户端”，电子投标工具请投标人自行前往浙江政府采购网下载并安装，（下载网址：</w:t>
      </w:r>
      <w:r>
        <w:rPr>
          <w:rFonts w:hint="eastAsia" w:ascii="仿宋" w:hAnsi="仿宋" w:eastAsia="仿宋" w:cs="仿宋"/>
          <w:color w:val="auto"/>
          <w:sz w:val="24"/>
          <w:szCs w:val="24"/>
          <w:highlight w:val="none"/>
        </w:rPr>
        <w:fldChar w:fldCharType="begin"/>
      </w:r>
      <w:r>
        <w:rPr>
          <w:color w:val="auto"/>
          <w:highlight w:val="none"/>
        </w:rPr>
        <w:instrText xml:space="preserve">HYPERLINK "http://zfcg.czt.zj.gov.cn/）。"</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http://zfcg.czt.zj.gov.cn/）。</w:t>
      </w:r>
      <w:r>
        <w:rPr>
          <w:rFonts w:hint="eastAsia" w:ascii="仿宋" w:hAnsi="仿宋" w:eastAsia="仿宋" w:cs="仿宋"/>
          <w:color w:val="auto"/>
          <w:sz w:val="24"/>
          <w:szCs w:val="24"/>
          <w:highlight w:val="none"/>
        </w:rPr>
        <w:fldChar w:fldCharType="end"/>
      </w:r>
    </w:p>
    <w:p w14:paraId="476EB1A5">
      <w:pPr>
        <w:pStyle w:val="22"/>
        <w:keepNext w:val="0"/>
        <w:keepLines w:val="0"/>
        <w:pageBreakBefore w:val="0"/>
        <w:widowControl/>
        <w:kinsoku/>
        <w:wordWrap/>
        <w:overflowPunct/>
        <w:topLinePunct w:val="0"/>
        <w:autoSpaceDE/>
        <w:autoSpaceDN/>
        <w:bidi w:val="0"/>
        <w:adjustRightInd/>
        <w:snapToGrid/>
        <w:spacing w:before="38" w:beforeAutospacing="0" w:after="38" w:afterLines="0" w:afterAutospacing="0" w:line="34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.4电子交易具体流程详见操作指南：登录政府采购云平台（http://zfcg.czt.zj.gov.cn/），从首页-服务中心-帮助文档-项目采购-电子招投标，查看文档和视频。</w:t>
      </w:r>
    </w:p>
    <w:p w14:paraId="7DD2FF36">
      <w:pPr>
        <w:pStyle w:val="22"/>
        <w:keepNext w:val="0"/>
        <w:keepLines w:val="0"/>
        <w:pageBreakBefore w:val="0"/>
        <w:widowControl/>
        <w:kinsoku/>
        <w:wordWrap/>
        <w:overflowPunct/>
        <w:topLinePunct w:val="0"/>
        <w:autoSpaceDE/>
        <w:autoSpaceDN/>
        <w:bidi w:val="0"/>
        <w:adjustRightInd/>
        <w:snapToGrid/>
        <w:spacing w:before="38" w:beforeAutospacing="0" w:after="38" w:afterLines="0" w:afterAutospacing="0" w:line="34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.5如有疑问，可致电政府采购云平台技术支持热线咨询，联系方式：</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w:t>
      </w:r>
    </w:p>
    <w:p w14:paraId="740EA0D2">
      <w:pPr>
        <w:pStyle w:val="22"/>
        <w:keepNext w:val="0"/>
        <w:keepLines w:val="0"/>
        <w:pageBreakBefore w:val="0"/>
        <w:widowControl/>
        <w:kinsoku/>
        <w:wordWrap/>
        <w:overflowPunct/>
        <w:topLinePunct w:val="0"/>
        <w:autoSpaceDE/>
        <w:autoSpaceDN/>
        <w:bidi w:val="0"/>
        <w:adjustRightInd/>
        <w:snapToGrid/>
        <w:spacing w:before="38" w:beforeAutospacing="0" w:after="38" w:afterLines="0" w:afterAutospacing="0" w:line="34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.6供应商应当在</w:t>
      </w:r>
      <w:r>
        <w:rPr>
          <w:rFonts w:hint="eastAsia" w:ascii="仿宋" w:hAnsi="仿宋" w:eastAsia="仿宋" w:cs="仿宋"/>
          <w:color w:val="auto"/>
          <w:sz w:val="24"/>
          <w:szCs w:val="24"/>
          <w:highlight w:val="none"/>
          <w:lang w:eastAsia="zh-CN"/>
        </w:rPr>
        <w:t>响应文件提交（上传）截止时间前</w:t>
      </w:r>
      <w:r>
        <w:rPr>
          <w:rFonts w:hint="eastAsia" w:ascii="仿宋" w:hAnsi="仿宋" w:eastAsia="仿宋" w:cs="仿宋"/>
          <w:color w:val="auto"/>
          <w:sz w:val="24"/>
          <w:szCs w:val="24"/>
          <w:highlight w:val="none"/>
        </w:rPr>
        <w:t>完成“电子加密响应文件”的在线提交</w:t>
      </w:r>
      <w:r>
        <w:rPr>
          <w:rFonts w:hint="eastAsia" w:ascii="仿宋" w:hAnsi="仿宋" w:eastAsia="仿宋" w:cs="仿宋"/>
          <w:color w:val="auto"/>
          <w:sz w:val="24"/>
          <w:szCs w:val="24"/>
          <w:highlight w:val="none"/>
          <w:lang w:eastAsia="zh-CN"/>
        </w:rPr>
        <w:t>，在响应文件提交（上传）截止时间前</w:t>
      </w:r>
      <w:r>
        <w:rPr>
          <w:rFonts w:hint="eastAsia" w:ascii="仿宋" w:hAnsi="仿宋" w:eastAsia="仿宋" w:cs="仿宋"/>
          <w:color w:val="auto"/>
          <w:sz w:val="24"/>
          <w:szCs w:val="24"/>
          <w:highlight w:val="none"/>
        </w:rPr>
        <w:t>可以补充、修改或者撤回电子加密响应文件。补充或者修改电子加密响应文件的，应当先行撤回原文件，补充、修改后重新上传提交。</w:t>
      </w:r>
      <w:r>
        <w:rPr>
          <w:rFonts w:hint="eastAsia" w:ascii="仿宋" w:hAnsi="仿宋" w:eastAsia="仿宋" w:cs="仿宋"/>
          <w:color w:val="auto"/>
          <w:sz w:val="24"/>
          <w:szCs w:val="24"/>
          <w:highlight w:val="none"/>
          <w:lang w:eastAsia="zh-CN"/>
        </w:rPr>
        <w:t>响应文件提交（上传）截止时间之前</w:t>
      </w:r>
      <w:r>
        <w:rPr>
          <w:rFonts w:hint="eastAsia" w:ascii="仿宋" w:hAnsi="仿宋" w:eastAsia="仿宋" w:cs="仿宋"/>
          <w:color w:val="auto"/>
          <w:sz w:val="24"/>
          <w:szCs w:val="24"/>
          <w:highlight w:val="none"/>
        </w:rPr>
        <w:t>未完成提交的，视为撤回响应文件。逾期递交的电子加密响应文件，将被政采云平台拒收。</w:t>
      </w:r>
    </w:p>
    <w:p w14:paraId="2FD48563">
      <w:pPr>
        <w:pStyle w:val="22"/>
        <w:keepNext w:val="0"/>
        <w:keepLines w:val="0"/>
        <w:pageBreakBefore w:val="0"/>
        <w:widowControl/>
        <w:suppressLineNumbers w:val="0"/>
        <w:kinsoku/>
        <w:wordWrap/>
        <w:overflowPunct/>
        <w:topLinePunct w:val="0"/>
        <w:autoSpaceDE/>
        <w:autoSpaceDN/>
        <w:bidi w:val="0"/>
        <w:adjustRightInd/>
        <w:snapToGrid/>
        <w:spacing w:before="128" w:beforeAutospacing="0" w:after="128" w:afterLines="0" w:afterAutospacing="0" w:line="340" w:lineRule="exact"/>
        <w:ind w:left="0" w:right="0" w:firstLine="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4.7</w:t>
      </w:r>
      <w:r>
        <w:rPr>
          <w:rFonts w:hint="eastAsia" w:ascii="仿宋" w:hAnsi="仿宋" w:eastAsia="仿宋" w:cs="仿宋"/>
          <w:color w:val="auto"/>
          <w:sz w:val="24"/>
          <w:szCs w:val="24"/>
          <w:highlight w:val="none"/>
        </w:rPr>
        <w:t>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sz w:val="24"/>
          <w:szCs w:val="24"/>
          <w:highlight w:val="none"/>
          <w:lang w:eastAsia="zh-CN"/>
        </w:rPr>
        <w:t>。</w:t>
      </w:r>
    </w:p>
    <w:p w14:paraId="5225889A">
      <w:pPr>
        <w:pStyle w:val="22"/>
        <w:keepNext w:val="0"/>
        <w:keepLines w:val="0"/>
        <w:pageBreakBefore w:val="0"/>
        <w:widowControl/>
        <w:kinsoku/>
        <w:wordWrap/>
        <w:overflowPunct/>
        <w:topLinePunct w:val="0"/>
        <w:autoSpaceDE/>
        <w:autoSpaceDN/>
        <w:bidi w:val="0"/>
        <w:adjustRightInd/>
        <w:snapToGrid/>
        <w:spacing w:before="128" w:after="156" w:afterLines="0" w:line="340" w:lineRule="exact"/>
        <w:jc w:val="both"/>
        <w:textAlignment w:val="auto"/>
        <w:rPr>
          <w:rStyle w:val="28"/>
          <w:rFonts w:hint="eastAsia" w:ascii="黑体" w:hAnsi="宋体" w:eastAsia="黑体" w:cs="黑体"/>
          <w:color w:val="auto"/>
          <w:szCs w:val="24"/>
          <w:highlight w:val="none"/>
        </w:rPr>
      </w:pPr>
      <w:r>
        <w:rPr>
          <w:rStyle w:val="28"/>
          <w:rFonts w:hint="eastAsia" w:ascii="黑体" w:hAnsi="宋体" w:eastAsia="黑体" w:cs="黑体"/>
          <w:color w:val="auto"/>
          <w:szCs w:val="24"/>
          <w:highlight w:val="none"/>
        </w:rPr>
        <w:t>八、凡对本次招标提出询问、质疑、投诉，请按以下方式联系</w:t>
      </w:r>
    </w:p>
    <w:p w14:paraId="04FD3BBB">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 xml:space="preserve"> 1.采购人信息</w:t>
      </w:r>
    </w:p>
    <w:p w14:paraId="22B0628C">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 名    称：泰顺县包垟乡人民政府 </w:t>
      </w:r>
    </w:p>
    <w:p w14:paraId="2604DDD5">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 xml:space="preserve">地    址：温州市泰顺县包垟乡新塘垟路 7 号 </w:t>
      </w:r>
    </w:p>
    <w:p w14:paraId="02911F82">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val="en-US" w:eastAsia="zh-CN"/>
        </w:rPr>
      </w:pPr>
      <w:r>
        <w:rPr>
          <w:rFonts w:hint="eastAsia" w:ascii="仿宋" w:hAnsi="仿宋" w:eastAsia="仿宋" w:cs="仿宋"/>
          <w:i w:val="0"/>
          <w:iCs w:val="0"/>
          <w:caps w:val="0"/>
          <w:smallCaps w:val="0"/>
          <w:color w:val="auto"/>
          <w:spacing w:val="0"/>
          <w:sz w:val="24"/>
          <w:szCs w:val="24"/>
          <w:highlight w:val="none"/>
          <w:lang w:eastAsia="zh-CN"/>
        </w:rPr>
        <w:t> 传    真：</w:t>
      </w:r>
    </w:p>
    <w:p w14:paraId="2AA68257">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default" w:ascii="仿宋" w:hAnsi="仿宋" w:eastAsia="仿宋" w:cs="仿宋"/>
          <w:i w:val="0"/>
          <w:iCs w:val="0"/>
          <w:caps w:val="0"/>
          <w:smallCaps w:val="0"/>
          <w:color w:val="auto"/>
          <w:spacing w:val="0"/>
          <w:sz w:val="24"/>
          <w:szCs w:val="24"/>
          <w:highlight w:val="none"/>
          <w:lang w:val="en-US" w:eastAsia="zh-CN"/>
        </w:rPr>
      </w:pPr>
      <w:r>
        <w:rPr>
          <w:rFonts w:hint="eastAsia" w:ascii="仿宋" w:hAnsi="仿宋" w:eastAsia="仿宋" w:cs="仿宋"/>
          <w:i w:val="0"/>
          <w:iCs w:val="0"/>
          <w:caps w:val="0"/>
          <w:smallCaps w:val="0"/>
          <w:color w:val="auto"/>
          <w:spacing w:val="0"/>
          <w:sz w:val="24"/>
          <w:szCs w:val="24"/>
          <w:highlight w:val="none"/>
          <w:lang w:eastAsia="zh-CN"/>
        </w:rPr>
        <w:t>项目联系人（询问）：</w:t>
      </w:r>
      <w:r>
        <w:rPr>
          <w:rFonts w:hint="eastAsia" w:ascii="仿宋" w:hAnsi="仿宋" w:eastAsia="仿宋" w:cs="仿宋"/>
          <w:i w:val="0"/>
          <w:iCs w:val="0"/>
          <w:caps w:val="0"/>
          <w:smallCaps w:val="0"/>
          <w:color w:val="auto"/>
          <w:spacing w:val="0"/>
          <w:sz w:val="24"/>
          <w:szCs w:val="24"/>
          <w:highlight w:val="none"/>
          <w:lang w:val="en-US" w:eastAsia="zh-CN"/>
        </w:rPr>
        <w:t>姚先生</w:t>
      </w:r>
    </w:p>
    <w:p w14:paraId="5101F3AE">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 xml:space="preserve">项目联系方式（询问）：13429656326  </w:t>
      </w:r>
    </w:p>
    <w:p w14:paraId="4CF8130F">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default" w:ascii="仿宋" w:hAnsi="仿宋" w:eastAsia="仿宋" w:cs="仿宋"/>
          <w:i w:val="0"/>
          <w:iCs w:val="0"/>
          <w:caps w:val="0"/>
          <w:smallCaps w:val="0"/>
          <w:color w:val="auto"/>
          <w:spacing w:val="0"/>
          <w:sz w:val="24"/>
          <w:szCs w:val="24"/>
          <w:highlight w:val="none"/>
          <w:lang w:val="en-US" w:eastAsia="zh-CN"/>
        </w:rPr>
      </w:pPr>
      <w:r>
        <w:rPr>
          <w:rFonts w:hint="eastAsia" w:ascii="仿宋" w:hAnsi="仿宋" w:eastAsia="仿宋" w:cs="仿宋"/>
          <w:i w:val="0"/>
          <w:iCs w:val="0"/>
          <w:caps w:val="0"/>
          <w:smallCaps w:val="0"/>
          <w:color w:val="auto"/>
          <w:spacing w:val="0"/>
          <w:sz w:val="24"/>
          <w:szCs w:val="24"/>
          <w:highlight w:val="none"/>
          <w:lang w:eastAsia="zh-CN"/>
        </w:rPr>
        <w:t>质疑联系人： </w:t>
      </w:r>
      <w:r>
        <w:rPr>
          <w:rFonts w:hint="eastAsia" w:ascii="仿宋" w:hAnsi="仿宋" w:eastAsia="仿宋" w:cs="仿宋"/>
          <w:i w:val="0"/>
          <w:iCs w:val="0"/>
          <w:caps w:val="0"/>
          <w:smallCaps w:val="0"/>
          <w:color w:val="auto"/>
          <w:spacing w:val="0"/>
          <w:sz w:val="24"/>
          <w:szCs w:val="24"/>
          <w:highlight w:val="none"/>
          <w:lang w:val="en-US" w:eastAsia="zh-CN"/>
        </w:rPr>
        <w:t>钟先生</w:t>
      </w:r>
    </w:p>
    <w:p w14:paraId="7F51EADB">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质疑联系方式： 13615753687</w:t>
      </w:r>
    </w:p>
    <w:p w14:paraId="27956C27">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br w:type="textWrapping"/>
      </w:r>
      <w:r>
        <w:rPr>
          <w:rFonts w:hint="eastAsia" w:ascii="仿宋" w:hAnsi="仿宋" w:eastAsia="仿宋" w:cs="仿宋"/>
          <w:i w:val="0"/>
          <w:iCs w:val="0"/>
          <w:caps w:val="0"/>
          <w:smallCaps w:val="0"/>
          <w:color w:val="auto"/>
          <w:spacing w:val="0"/>
          <w:sz w:val="24"/>
          <w:szCs w:val="24"/>
          <w:highlight w:val="none"/>
          <w:lang w:eastAsia="zh-CN"/>
        </w:rPr>
        <w:t>    2.采购代理机构信息</w:t>
      </w:r>
    </w:p>
    <w:p w14:paraId="39BC9059">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名    称：台州嘉亿招标代理有限责任公司             </w:t>
      </w:r>
    </w:p>
    <w:p w14:paraId="43CA4B15">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地    址：温州市泰顺县罗阳镇文祥大道和泰寿路交叉口电网弄一号三楼 </w:t>
      </w:r>
    </w:p>
    <w:p w14:paraId="29691C9F">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传   真：  </w:t>
      </w:r>
    </w:p>
    <w:p w14:paraId="2052AD63">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default" w:ascii="仿宋" w:hAnsi="仿宋" w:eastAsia="仿宋" w:cs="仿宋"/>
          <w:i w:val="0"/>
          <w:iCs w:val="0"/>
          <w:caps w:val="0"/>
          <w:smallCaps w:val="0"/>
          <w:color w:val="auto"/>
          <w:spacing w:val="0"/>
          <w:sz w:val="24"/>
          <w:szCs w:val="24"/>
          <w:highlight w:val="none"/>
          <w:lang w:val="en-US" w:eastAsia="zh-CN"/>
        </w:rPr>
      </w:pPr>
      <w:r>
        <w:rPr>
          <w:rFonts w:hint="eastAsia" w:ascii="仿宋" w:hAnsi="仿宋" w:eastAsia="仿宋" w:cs="仿宋"/>
          <w:i w:val="0"/>
          <w:iCs w:val="0"/>
          <w:caps w:val="0"/>
          <w:smallCaps w:val="0"/>
          <w:color w:val="auto"/>
          <w:spacing w:val="0"/>
          <w:sz w:val="24"/>
          <w:szCs w:val="24"/>
          <w:highlight w:val="none"/>
          <w:lang w:eastAsia="zh-CN"/>
        </w:rPr>
        <w:t>项目联系人（询问）：翁</w:t>
      </w:r>
      <w:r>
        <w:rPr>
          <w:rFonts w:hint="eastAsia" w:ascii="仿宋" w:hAnsi="仿宋" w:eastAsia="仿宋" w:cs="仿宋"/>
          <w:i w:val="0"/>
          <w:iCs w:val="0"/>
          <w:caps w:val="0"/>
          <w:smallCaps w:val="0"/>
          <w:color w:val="auto"/>
          <w:spacing w:val="0"/>
          <w:sz w:val="24"/>
          <w:szCs w:val="24"/>
          <w:highlight w:val="none"/>
          <w:lang w:val="en-US" w:eastAsia="zh-CN"/>
        </w:rPr>
        <w:t>先生</w:t>
      </w:r>
    </w:p>
    <w:p w14:paraId="3F37EAA8">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项目联系方式（询问）：</w:t>
      </w:r>
      <w:r>
        <w:rPr>
          <w:rFonts w:hint="eastAsia" w:ascii="仿宋" w:hAnsi="仿宋" w:eastAsia="仿宋" w:cs="仿宋"/>
          <w:i w:val="0"/>
          <w:iCs w:val="0"/>
          <w:caps w:val="0"/>
          <w:smallCaps w:val="0"/>
          <w:color w:val="auto"/>
          <w:spacing w:val="0"/>
          <w:sz w:val="24"/>
          <w:szCs w:val="24"/>
          <w:highlight w:val="none"/>
          <w:lang w:val="en-US" w:eastAsia="zh-CN"/>
        </w:rPr>
        <w:t>13757700407</w:t>
      </w:r>
      <w:r>
        <w:rPr>
          <w:rFonts w:hint="eastAsia" w:ascii="仿宋" w:hAnsi="仿宋" w:eastAsia="仿宋" w:cs="仿宋"/>
          <w:i w:val="0"/>
          <w:iCs w:val="0"/>
          <w:caps w:val="0"/>
          <w:smallCaps w:val="0"/>
          <w:color w:val="auto"/>
          <w:spacing w:val="0"/>
          <w:sz w:val="24"/>
          <w:szCs w:val="24"/>
          <w:highlight w:val="none"/>
          <w:lang w:eastAsia="zh-CN"/>
        </w:rPr>
        <w:t> </w:t>
      </w:r>
    </w:p>
    <w:p w14:paraId="14DBE83C">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质疑联系人：</w:t>
      </w:r>
      <w:r>
        <w:rPr>
          <w:rFonts w:hint="eastAsia" w:ascii="仿宋" w:hAnsi="仿宋" w:eastAsia="仿宋" w:cs="仿宋"/>
          <w:i w:val="0"/>
          <w:iCs w:val="0"/>
          <w:caps w:val="0"/>
          <w:smallCaps w:val="0"/>
          <w:color w:val="auto"/>
          <w:spacing w:val="0"/>
          <w:sz w:val="24"/>
          <w:szCs w:val="24"/>
          <w:highlight w:val="none"/>
          <w:lang w:val="en-US" w:eastAsia="zh-CN"/>
        </w:rPr>
        <w:t>林先生</w:t>
      </w:r>
      <w:r>
        <w:rPr>
          <w:rFonts w:hint="eastAsia" w:ascii="仿宋" w:hAnsi="仿宋" w:eastAsia="仿宋" w:cs="仿宋"/>
          <w:i w:val="0"/>
          <w:iCs w:val="0"/>
          <w:caps w:val="0"/>
          <w:smallCaps w:val="0"/>
          <w:color w:val="auto"/>
          <w:spacing w:val="0"/>
          <w:sz w:val="24"/>
          <w:szCs w:val="24"/>
          <w:highlight w:val="none"/>
          <w:lang w:eastAsia="zh-CN"/>
        </w:rPr>
        <w:t> </w:t>
      </w:r>
    </w:p>
    <w:p w14:paraId="619692FE">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val="en-US" w:eastAsia="zh-CN"/>
        </w:rPr>
      </w:pPr>
      <w:r>
        <w:rPr>
          <w:rFonts w:hint="eastAsia" w:ascii="仿宋" w:hAnsi="仿宋" w:eastAsia="仿宋" w:cs="仿宋"/>
          <w:i w:val="0"/>
          <w:iCs w:val="0"/>
          <w:caps w:val="0"/>
          <w:smallCaps w:val="0"/>
          <w:color w:val="auto"/>
          <w:spacing w:val="0"/>
          <w:sz w:val="24"/>
          <w:szCs w:val="24"/>
          <w:highlight w:val="none"/>
          <w:lang w:eastAsia="zh-CN"/>
        </w:rPr>
        <w:t>质疑联系方式：</w:t>
      </w:r>
      <w:r>
        <w:rPr>
          <w:rFonts w:hint="eastAsia" w:ascii="仿宋" w:hAnsi="仿宋" w:eastAsia="仿宋" w:cs="仿宋"/>
          <w:i w:val="0"/>
          <w:iCs w:val="0"/>
          <w:caps w:val="0"/>
          <w:smallCaps w:val="0"/>
          <w:color w:val="auto"/>
          <w:spacing w:val="0"/>
          <w:sz w:val="24"/>
          <w:szCs w:val="24"/>
          <w:highlight w:val="none"/>
          <w:lang w:val="en-US" w:eastAsia="zh-CN"/>
        </w:rPr>
        <w:t>13968855370</w:t>
      </w:r>
    </w:p>
    <w:p w14:paraId="5277943B">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w:t>
      </w:r>
      <w:r>
        <w:rPr>
          <w:rFonts w:hint="eastAsia" w:ascii="仿宋" w:hAnsi="仿宋" w:eastAsia="仿宋" w:cs="仿宋"/>
          <w:i w:val="0"/>
          <w:iCs w:val="0"/>
          <w:caps w:val="0"/>
          <w:smallCaps w:val="0"/>
          <w:color w:val="auto"/>
          <w:spacing w:val="0"/>
          <w:sz w:val="24"/>
          <w:szCs w:val="24"/>
          <w:highlight w:val="none"/>
          <w:lang w:eastAsia="zh-CN"/>
        </w:rPr>
        <w:t>3.同级政府采购监督管理部门</w:t>
      </w:r>
    </w:p>
    <w:p w14:paraId="7DD2C9D5">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名    称：泰顺县财政局（浙江省政府采购行政裁决服务中心（温州））</w:t>
      </w:r>
    </w:p>
    <w:p w14:paraId="0556FAD2">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地址：温州市鹿城区滨江街道瓯江路展银大厦1606室</w:t>
      </w:r>
      <w:bookmarkStart w:id="117" w:name="_GoBack"/>
      <w:bookmarkEnd w:id="117"/>
    </w:p>
    <w:p w14:paraId="0C3424C8">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传真：</w:t>
      </w:r>
    </w:p>
    <w:p w14:paraId="36DA71BB">
      <w:pPr>
        <w:pStyle w:val="22"/>
        <w:keepNext w:val="0"/>
        <w:keepLines w:val="0"/>
        <w:pageBreakBefore w:val="0"/>
        <w:widowControl/>
        <w:suppressLineNumbers w:val="0"/>
        <w:kinsoku/>
        <w:wordWrap/>
        <w:overflowPunct/>
        <w:topLinePunct w:val="0"/>
        <w:autoSpaceDE/>
        <w:autoSpaceDN/>
        <w:bidi w:val="0"/>
        <w:adjustRightInd/>
        <w:snapToGrid/>
        <w:spacing w:before="38" w:beforeAutospacing="0" w:after="38" w:afterLines="0" w:afterAutospacing="0" w:line="340" w:lineRule="exact"/>
        <w:ind w:left="0" w:right="0" w:firstLine="350"/>
        <w:textAlignment w:val="auto"/>
        <w:rPr>
          <w:rFonts w:hint="eastAsia" w:ascii="仿宋" w:hAnsi="仿宋" w:eastAsia="仿宋" w:cs="仿宋"/>
          <w:i w:val="0"/>
          <w:iCs w:val="0"/>
          <w:caps w:val="0"/>
          <w:smallCaps w:val="0"/>
          <w:color w:val="auto"/>
          <w:spacing w:val="0"/>
          <w:sz w:val="24"/>
          <w:szCs w:val="24"/>
          <w:highlight w:val="none"/>
          <w:lang w:eastAsia="zh-CN"/>
        </w:rPr>
      </w:pPr>
      <w:r>
        <w:rPr>
          <w:rFonts w:hint="eastAsia" w:ascii="仿宋" w:hAnsi="仿宋" w:eastAsia="仿宋" w:cs="仿宋"/>
          <w:i w:val="0"/>
          <w:iCs w:val="0"/>
          <w:caps w:val="0"/>
          <w:smallCaps w:val="0"/>
          <w:color w:val="auto"/>
          <w:spacing w:val="0"/>
          <w:sz w:val="24"/>
          <w:szCs w:val="24"/>
          <w:highlight w:val="none"/>
          <w:lang w:eastAsia="zh-CN"/>
        </w:rPr>
        <w:t>联系人：李老师、王老师</w:t>
      </w:r>
    </w:p>
    <w:p w14:paraId="34987BB0">
      <w:pPr>
        <w:pStyle w:val="22"/>
        <w:spacing w:before="38" w:after="156" w:afterLines="0" w:line="150" w:lineRule="atLeast"/>
        <w:rPr>
          <w:rFonts w:ascii="仿宋" w:hAnsi="仿宋" w:eastAsia="仿宋" w:cs="仿宋"/>
          <w:color w:val="auto"/>
          <w:szCs w:val="24"/>
          <w:highlight w:val="none"/>
        </w:rPr>
      </w:pPr>
    </w:p>
    <w:p w14:paraId="53DCEB4F">
      <w:pPr>
        <w:pStyle w:val="25"/>
        <w:rPr>
          <w:rFonts w:hint="eastAsia"/>
          <w:color w:val="auto"/>
          <w:highlight w:val="none"/>
          <w:lang w:val="zh-CN"/>
        </w:rPr>
      </w:pPr>
    </w:p>
    <w:p w14:paraId="35AE7509">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第一部分、投标邀请函（投标须知前附表）</w:t>
      </w:r>
      <w:bookmarkEnd w:id="1"/>
    </w:p>
    <w:tbl>
      <w:tblPr>
        <w:tblStyle w:val="2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4DADE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12" w:space="0"/>
            </w:tcBorders>
            <w:vAlign w:val="center"/>
          </w:tcPr>
          <w:p w14:paraId="1C1A9A59">
            <w:pPr>
              <w:tabs>
                <w:tab w:val="left" w:pos="1069"/>
                <w:tab w:val="left" w:pos="2352"/>
              </w:tabs>
              <w:spacing w:line="400" w:lineRule="atLeast"/>
              <w:jc w:val="right"/>
              <w:rPr>
                <w:rFonts w:ascii="宋体" w:hAnsi="宋体" w:cs="宋体"/>
                <w:color w:val="auto"/>
                <w:sz w:val="22"/>
                <w:highlight w:val="none"/>
              </w:rPr>
            </w:pPr>
            <w:r>
              <w:rPr>
                <w:rFonts w:hint="eastAsia" w:ascii="宋体" w:hAnsi="宋体" w:cs="宋体"/>
                <w:color w:val="auto"/>
                <w:sz w:val="22"/>
                <w:highlight w:val="none"/>
              </w:rPr>
              <w:t>项号</w:t>
            </w:r>
          </w:p>
        </w:tc>
        <w:tc>
          <w:tcPr>
            <w:tcW w:w="1600" w:type="dxa"/>
            <w:tcBorders>
              <w:top w:val="single" w:color="auto" w:sz="12" w:space="0"/>
            </w:tcBorders>
            <w:vAlign w:val="center"/>
          </w:tcPr>
          <w:p w14:paraId="2A025077">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内容</w:t>
            </w:r>
          </w:p>
        </w:tc>
        <w:tc>
          <w:tcPr>
            <w:tcW w:w="7619" w:type="dxa"/>
            <w:tcBorders>
              <w:top w:val="single" w:color="auto" w:sz="12" w:space="0"/>
            </w:tcBorders>
            <w:vAlign w:val="center"/>
          </w:tcPr>
          <w:p w14:paraId="27E482C8">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说明与要求</w:t>
            </w:r>
          </w:p>
        </w:tc>
      </w:tr>
      <w:tr w14:paraId="39B0F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930D37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20D3386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项目名称</w:t>
            </w:r>
          </w:p>
        </w:tc>
        <w:tc>
          <w:tcPr>
            <w:tcW w:w="7619" w:type="dxa"/>
            <w:tcBorders>
              <w:top w:val="single" w:color="auto" w:sz="4" w:space="0"/>
              <w:left w:val="single" w:color="auto" w:sz="4" w:space="0"/>
              <w:right w:val="single" w:color="auto" w:sz="12" w:space="0"/>
            </w:tcBorders>
            <w:vAlign w:val="center"/>
          </w:tcPr>
          <w:p w14:paraId="583239E1">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bCs/>
                <w:color w:val="auto"/>
                <w:sz w:val="22"/>
                <w:highlight w:val="none"/>
                <w:lang w:eastAsia="zh-CN"/>
              </w:rPr>
              <w:t>泰顺县包垟乡环卫保洁服务</w:t>
            </w:r>
          </w:p>
        </w:tc>
      </w:tr>
      <w:tr w14:paraId="06A5D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3D4166E">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25B09E5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项目编号</w:t>
            </w:r>
          </w:p>
        </w:tc>
        <w:tc>
          <w:tcPr>
            <w:tcW w:w="7619" w:type="dxa"/>
            <w:tcBorders>
              <w:top w:val="single" w:color="auto" w:sz="4" w:space="0"/>
              <w:left w:val="single" w:color="auto" w:sz="4" w:space="0"/>
              <w:right w:val="single" w:color="auto" w:sz="12" w:space="0"/>
            </w:tcBorders>
            <w:vAlign w:val="center"/>
          </w:tcPr>
          <w:p w14:paraId="0A1796DE">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330329265190010000001-TSCG202606003</w:t>
            </w:r>
          </w:p>
        </w:tc>
      </w:tr>
      <w:tr w14:paraId="20BBD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3450459">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211F5FA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资金来源</w:t>
            </w:r>
          </w:p>
        </w:tc>
        <w:tc>
          <w:tcPr>
            <w:tcW w:w="7619" w:type="dxa"/>
            <w:tcBorders>
              <w:top w:val="single" w:color="auto" w:sz="4" w:space="0"/>
              <w:left w:val="single" w:color="auto" w:sz="4" w:space="0"/>
              <w:right w:val="single" w:color="auto" w:sz="12" w:space="0"/>
            </w:tcBorders>
            <w:vAlign w:val="center"/>
          </w:tcPr>
          <w:p w14:paraId="7A0A263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财政性资金</w:t>
            </w:r>
          </w:p>
        </w:tc>
      </w:tr>
      <w:tr w14:paraId="3BB4F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B4FE674">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A4B8A2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采购方式</w:t>
            </w:r>
          </w:p>
        </w:tc>
        <w:tc>
          <w:tcPr>
            <w:tcW w:w="7619" w:type="dxa"/>
            <w:tcBorders>
              <w:top w:val="single" w:color="auto" w:sz="4" w:space="0"/>
              <w:left w:val="single" w:color="auto" w:sz="4" w:space="0"/>
              <w:right w:val="single" w:color="auto" w:sz="12" w:space="0"/>
            </w:tcBorders>
            <w:vAlign w:val="center"/>
          </w:tcPr>
          <w:p w14:paraId="57DDDD5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竞争性磋商</w:t>
            </w:r>
          </w:p>
        </w:tc>
      </w:tr>
      <w:tr w14:paraId="7A754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764D9C5">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6292C34F">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采购预算</w:t>
            </w:r>
          </w:p>
          <w:p w14:paraId="05808AD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（最高限价）</w:t>
            </w:r>
          </w:p>
        </w:tc>
        <w:tc>
          <w:tcPr>
            <w:tcW w:w="7619" w:type="dxa"/>
            <w:tcBorders>
              <w:top w:val="single" w:color="auto" w:sz="4" w:space="0"/>
              <w:left w:val="single" w:color="auto" w:sz="4" w:space="0"/>
              <w:right w:val="single" w:color="auto" w:sz="12" w:space="0"/>
            </w:tcBorders>
            <w:vAlign w:val="center"/>
          </w:tcPr>
          <w:p w14:paraId="1F2B2315">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lang w:val="en-US" w:eastAsia="zh-CN"/>
              </w:rPr>
              <w:t>644000</w:t>
            </w:r>
            <w:r>
              <w:rPr>
                <w:rFonts w:hint="eastAsia" w:ascii="宋体" w:hAnsi="宋体" w:cs="宋体"/>
                <w:bCs/>
                <w:color w:val="auto"/>
                <w:sz w:val="22"/>
                <w:highlight w:val="none"/>
              </w:rPr>
              <w:t>元</w:t>
            </w:r>
          </w:p>
        </w:tc>
      </w:tr>
      <w:tr w14:paraId="32ED6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F7007D">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48276E7">
            <w:pPr>
              <w:tabs>
                <w:tab w:val="left" w:pos="1069"/>
              </w:tabs>
              <w:adjustRightInd w:val="0"/>
              <w:jc w:val="center"/>
              <w:rPr>
                <w:rFonts w:ascii="宋体" w:hAnsi="宋体" w:cs="宋体"/>
                <w:color w:val="auto"/>
                <w:sz w:val="22"/>
                <w:highlight w:val="none"/>
              </w:rPr>
            </w:pPr>
            <w:r>
              <w:rPr>
                <w:rFonts w:hint="eastAsia" w:ascii="宋体" w:hAnsi="宋体" w:cs="宋体"/>
                <w:color w:val="auto"/>
                <w:sz w:val="22"/>
                <w:highlight w:val="none"/>
              </w:rPr>
              <w:t>采购人</w:t>
            </w:r>
          </w:p>
        </w:tc>
        <w:tc>
          <w:tcPr>
            <w:tcW w:w="7619" w:type="dxa"/>
            <w:tcBorders>
              <w:top w:val="single" w:color="auto" w:sz="4" w:space="0"/>
              <w:left w:val="single" w:color="auto" w:sz="4" w:space="0"/>
              <w:right w:val="single" w:color="auto" w:sz="12" w:space="0"/>
            </w:tcBorders>
            <w:vAlign w:val="center"/>
          </w:tcPr>
          <w:p w14:paraId="1FA96257">
            <w:pPr>
              <w:tabs>
                <w:tab w:val="left" w:pos="1069"/>
              </w:tabs>
              <w:adjustRightInd w:val="0"/>
              <w:jc w:val="left"/>
              <w:rPr>
                <w:rFonts w:ascii="宋体" w:hAnsi="宋体" w:cs="宋体"/>
                <w:color w:val="auto"/>
                <w:sz w:val="22"/>
                <w:highlight w:val="none"/>
              </w:rPr>
            </w:pPr>
            <w:r>
              <w:rPr>
                <w:rFonts w:hint="eastAsia" w:ascii="宋体" w:hAnsi="宋体" w:cs="宋体"/>
                <w:color w:val="auto"/>
                <w:sz w:val="22"/>
                <w:highlight w:val="none"/>
              </w:rPr>
              <w:t>详见采购公告</w:t>
            </w:r>
          </w:p>
        </w:tc>
      </w:tr>
      <w:tr w14:paraId="1D9D6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949621F">
            <w:pPr>
              <w:widowControl/>
              <w:numPr>
                <w:ilvl w:val="0"/>
                <w:numId w:val="1"/>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3B622F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招标代理机构</w:t>
            </w:r>
          </w:p>
        </w:tc>
        <w:tc>
          <w:tcPr>
            <w:tcW w:w="7619" w:type="dxa"/>
            <w:tcBorders>
              <w:top w:val="single" w:color="auto" w:sz="4" w:space="0"/>
              <w:left w:val="single" w:color="auto" w:sz="4" w:space="0"/>
              <w:right w:val="single" w:color="auto" w:sz="12" w:space="0"/>
            </w:tcBorders>
            <w:vAlign w:val="center"/>
          </w:tcPr>
          <w:p w14:paraId="3A0FE1B6">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rPr>
              <w:t>详见采购公告</w:t>
            </w:r>
          </w:p>
        </w:tc>
      </w:tr>
      <w:tr w14:paraId="06564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013D074">
            <w:pPr>
              <w:widowControl/>
              <w:numPr>
                <w:ilvl w:val="0"/>
                <w:numId w:val="1"/>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630CB60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评标办法</w:t>
            </w:r>
          </w:p>
        </w:tc>
        <w:tc>
          <w:tcPr>
            <w:tcW w:w="7619" w:type="dxa"/>
            <w:tcBorders>
              <w:top w:val="single" w:color="auto" w:sz="4" w:space="0"/>
              <w:left w:val="single" w:color="auto" w:sz="4" w:space="0"/>
              <w:right w:val="single" w:color="auto" w:sz="12" w:space="0"/>
            </w:tcBorders>
            <w:vAlign w:val="center"/>
          </w:tcPr>
          <w:p w14:paraId="1A39C6D1">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综合评分法</w:t>
            </w:r>
          </w:p>
        </w:tc>
      </w:tr>
      <w:tr w14:paraId="7A72B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9366689">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FEBD79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招标内容</w:t>
            </w:r>
          </w:p>
        </w:tc>
        <w:tc>
          <w:tcPr>
            <w:tcW w:w="7619" w:type="dxa"/>
            <w:tcBorders>
              <w:top w:val="single" w:color="auto" w:sz="4" w:space="0"/>
              <w:left w:val="single" w:color="auto" w:sz="4" w:space="0"/>
              <w:right w:val="single" w:color="auto" w:sz="12" w:space="0"/>
            </w:tcBorders>
            <w:vAlign w:val="center"/>
          </w:tcPr>
          <w:p w14:paraId="04F8A38D">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具体内容见竞争性磋商文件。</w:t>
            </w:r>
          </w:p>
        </w:tc>
      </w:tr>
      <w:tr w14:paraId="270AA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34D9D5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7329B0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投标供应商</w:t>
            </w:r>
          </w:p>
          <w:p w14:paraId="6927C27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资格要求</w:t>
            </w:r>
          </w:p>
        </w:tc>
        <w:tc>
          <w:tcPr>
            <w:tcW w:w="7619" w:type="dxa"/>
            <w:tcBorders>
              <w:top w:val="single" w:color="auto" w:sz="4" w:space="0"/>
              <w:left w:val="single" w:color="auto" w:sz="4" w:space="0"/>
              <w:right w:val="single" w:color="auto" w:sz="12" w:space="0"/>
            </w:tcBorders>
            <w:vAlign w:val="center"/>
          </w:tcPr>
          <w:p w14:paraId="1E83687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详见采购公告</w:t>
            </w:r>
          </w:p>
        </w:tc>
      </w:tr>
      <w:tr w14:paraId="1F706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707760">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3C6B2334">
            <w:pPr>
              <w:tabs>
                <w:tab w:val="left" w:pos="1069"/>
                <w:tab w:val="left" w:pos="2352"/>
              </w:tabs>
              <w:jc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是否允许联合体投标</w:t>
            </w:r>
          </w:p>
        </w:tc>
        <w:tc>
          <w:tcPr>
            <w:tcW w:w="7619" w:type="dxa"/>
            <w:tcBorders>
              <w:top w:val="single" w:color="auto" w:sz="4" w:space="0"/>
              <w:left w:val="single" w:color="auto" w:sz="4" w:space="0"/>
              <w:right w:val="single" w:color="auto" w:sz="12" w:space="0"/>
            </w:tcBorders>
            <w:vAlign w:val="center"/>
          </w:tcPr>
          <w:p w14:paraId="743464D1">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lang w:eastAsia="zh-CN"/>
              </w:rPr>
              <w:t>☑</w:t>
            </w:r>
            <w:r>
              <w:rPr>
                <w:rFonts w:hint="eastAsia" w:ascii="宋体" w:hAnsi="宋体" w:cs="宋体"/>
                <w:color w:val="auto"/>
                <w:sz w:val="22"/>
                <w:highlight w:val="none"/>
              </w:rPr>
              <w:t>不允许</w:t>
            </w:r>
          </w:p>
          <w:p w14:paraId="7B09704F">
            <w:pPr>
              <w:tabs>
                <w:tab w:val="left" w:pos="1069"/>
                <w:tab w:val="left" w:pos="2352"/>
              </w:tabs>
              <w:rPr>
                <w:rFonts w:ascii="宋体" w:hAnsi="宋体" w:eastAsia="宋体" w:cs="宋体"/>
                <w:color w:val="auto"/>
                <w:sz w:val="22"/>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rPr>
              <w:t>允许</w:t>
            </w:r>
          </w:p>
        </w:tc>
      </w:tr>
      <w:tr w14:paraId="281F9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AC873CC">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661E7136">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踏勘现场</w:t>
            </w:r>
          </w:p>
        </w:tc>
        <w:tc>
          <w:tcPr>
            <w:tcW w:w="7619" w:type="dxa"/>
            <w:tcBorders>
              <w:top w:val="single" w:color="auto" w:sz="4" w:space="0"/>
              <w:left w:val="single" w:color="auto" w:sz="4" w:space="0"/>
              <w:right w:val="single" w:color="auto" w:sz="12" w:space="0"/>
            </w:tcBorders>
            <w:vAlign w:val="center"/>
          </w:tcPr>
          <w:p w14:paraId="614BC895">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lang w:eastAsia="zh-CN"/>
              </w:rPr>
              <w:t>☑</w:t>
            </w:r>
            <w:r>
              <w:rPr>
                <w:rFonts w:hint="eastAsia" w:ascii="宋体" w:hAnsi="宋体" w:cs="宋体"/>
                <w:color w:val="auto"/>
                <w:sz w:val="22"/>
                <w:highlight w:val="none"/>
              </w:rPr>
              <w:t>不组织</w:t>
            </w:r>
          </w:p>
          <w:p w14:paraId="775A868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□组织</w:t>
            </w:r>
          </w:p>
        </w:tc>
      </w:tr>
      <w:tr w14:paraId="1BE53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6F28A1B">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D2483BC">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7619" w:type="dxa"/>
            <w:tcBorders>
              <w:top w:val="single" w:color="auto" w:sz="4" w:space="0"/>
              <w:left w:val="single" w:color="auto" w:sz="4" w:space="0"/>
              <w:right w:val="single" w:color="auto" w:sz="12" w:space="0"/>
            </w:tcBorders>
            <w:vAlign w:val="center"/>
          </w:tcPr>
          <w:p w14:paraId="1AF630F3">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lang w:eastAsia="zh-CN"/>
              </w:rPr>
              <w:t>☑</w:t>
            </w:r>
            <w:r>
              <w:rPr>
                <w:rFonts w:hint="eastAsia" w:ascii="宋体" w:hAnsi="宋体" w:cs="宋体"/>
                <w:color w:val="auto"/>
                <w:sz w:val="22"/>
                <w:highlight w:val="none"/>
              </w:rPr>
              <w:t>不允许</w:t>
            </w:r>
          </w:p>
          <w:p w14:paraId="49C187B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□允许</w:t>
            </w:r>
          </w:p>
        </w:tc>
      </w:tr>
      <w:tr w14:paraId="33DF8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18CFCA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274B97E4">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投标货币</w:t>
            </w:r>
          </w:p>
        </w:tc>
        <w:tc>
          <w:tcPr>
            <w:tcW w:w="7619" w:type="dxa"/>
            <w:tcBorders>
              <w:top w:val="single" w:color="auto" w:sz="4" w:space="0"/>
              <w:left w:val="single" w:color="auto" w:sz="4" w:space="0"/>
              <w:right w:val="single" w:color="auto" w:sz="12" w:space="0"/>
            </w:tcBorders>
            <w:vAlign w:val="center"/>
          </w:tcPr>
          <w:p w14:paraId="4BA973BF">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人民币</w:t>
            </w:r>
          </w:p>
        </w:tc>
      </w:tr>
      <w:tr w14:paraId="18D9E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6C49B9C">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70868D2">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投标语言</w:t>
            </w:r>
          </w:p>
        </w:tc>
        <w:tc>
          <w:tcPr>
            <w:tcW w:w="7619" w:type="dxa"/>
            <w:tcBorders>
              <w:top w:val="single" w:color="auto" w:sz="4" w:space="0"/>
              <w:left w:val="single" w:color="auto" w:sz="4" w:space="0"/>
              <w:right w:val="single" w:color="auto" w:sz="12" w:space="0"/>
            </w:tcBorders>
            <w:vAlign w:val="center"/>
          </w:tcPr>
          <w:p w14:paraId="3284C414">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中文</w:t>
            </w:r>
          </w:p>
        </w:tc>
      </w:tr>
      <w:tr w14:paraId="686F6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6144C0B">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17D03D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tcBorders>
              <w:top w:val="single" w:color="auto" w:sz="4" w:space="0"/>
              <w:left w:val="single" w:color="auto" w:sz="4" w:space="0"/>
              <w:right w:val="single" w:color="auto" w:sz="12" w:space="0"/>
            </w:tcBorders>
            <w:vAlign w:val="center"/>
          </w:tcPr>
          <w:p w14:paraId="2BAA9060">
            <w:pPr>
              <w:tabs>
                <w:tab w:val="left" w:pos="1069"/>
                <w:tab w:val="left" w:pos="2352"/>
              </w:tabs>
              <w:autoSpaceDE w:val="0"/>
              <w:autoSpaceDN w:val="0"/>
              <w:adjustRightInd w:val="0"/>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《资格文件》及《商务技术文件》和《报价文件》。</w:t>
            </w:r>
          </w:p>
          <w:p w14:paraId="5E756A8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528BB67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B8E5E3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☑电子投标文件（“电子加密投标文件”，在投标文件编制完成后生成）；</w:t>
            </w:r>
          </w:p>
          <w:p w14:paraId="5ED951A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“电子加密投标文件”是指通过“政采云电子交易客户端”完成投标文件编制后生成并加密的数据电文形式的投标文件。</w:t>
            </w:r>
          </w:p>
          <w:p w14:paraId="70E098F6">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b/>
                <w:bCs/>
                <w:color w:val="auto"/>
                <w:sz w:val="22"/>
                <w:highlight w:val="none"/>
              </w:rPr>
              <w:t>5</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投标文件份数：</w:t>
            </w:r>
            <w:r>
              <w:rPr>
                <w:rFonts w:hint="eastAsia" w:ascii="宋体" w:hAnsi="宋体" w:cs="宋体"/>
                <w:color w:val="auto"/>
                <w:sz w:val="22"/>
                <w:highlight w:val="none"/>
              </w:rPr>
              <w:t>“电子加密投标文件”：在线上传递交。</w:t>
            </w:r>
          </w:p>
          <w:p w14:paraId="566A2E36">
            <w:pPr>
              <w:tabs>
                <w:tab w:val="left" w:pos="1069"/>
                <w:tab w:val="left" w:pos="2352"/>
              </w:tabs>
              <w:rPr>
                <w:rFonts w:ascii="宋体" w:hAnsi="宋体" w:cs="宋体"/>
                <w:b/>
                <w:bCs/>
                <w:color w:val="auto"/>
                <w:sz w:val="22"/>
                <w:highlight w:val="none"/>
              </w:rPr>
            </w:pPr>
            <w:r>
              <w:rPr>
                <w:rFonts w:hint="eastAsia" w:ascii="宋体" w:hAnsi="宋体" w:cs="宋体"/>
                <w:color w:val="auto"/>
                <w:sz w:val="22"/>
                <w:highlight w:val="none"/>
              </w:rPr>
              <w:t>6</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投标文件的上传和递交：</w:t>
            </w:r>
          </w:p>
          <w:p w14:paraId="7FAABD8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“电子加密投标文件”的上传、递交：</w:t>
            </w:r>
          </w:p>
          <w:p w14:paraId="38589F1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a.供应商应在投标截止时间前将“电子加密投标文件”成功上传递交至“政府采购云平台”，否则投标无效。</w:t>
            </w:r>
          </w:p>
          <w:p w14:paraId="04F786D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b.“电子加密投标文件”成功上传递交后，供应商可自行打印投标文件接收回执。</w:t>
            </w:r>
          </w:p>
          <w:p w14:paraId="2002B3BF">
            <w:pPr>
              <w:tabs>
                <w:tab w:val="left" w:pos="1069"/>
                <w:tab w:val="left" w:pos="2352"/>
              </w:tabs>
              <w:rPr>
                <w:rFonts w:ascii="宋体" w:hAnsi="宋体" w:cs="宋体"/>
                <w:b/>
                <w:bCs/>
                <w:color w:val="auto"/>
                <w:sz w:val="22"/>
                <w:highlight w:val="none"/>
              </w:rPr>
            </w:pPr>
            <w:r>
              <w:rPr>
                <w:rFonts w:hint="eastAsia" w:ascii="宋体" w:hAnsi="宋体" w:cs="宋体"/>
                <w:b/>
                <w:bCs/>
                <w:color w:val="auto"/>
                <w:sz w:val="22"/>
                <w:highlight w:val="none"/>
              </w:rPr>
              <w:t>7</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电子加密投标文件的解密和异常情况处理：</w:t>
            </w:r>
          </w:p>
          <w:p w14:paraId="080E2C76">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（1）开标后，采购组织机构将向各供应商发出“电子加密投标文件”的解密通知，各供应商代表应当在接到解密通知后30分钟内自行完成“电子加密投标文件”的在线解密。</w:t>
            </w:r>
          </w:p>
          <w:p w14:paraId="40E6D835">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（2）</w:t>
            </w:r>
            <w:r>
              <w:rPr>
                <w:rStyle w:val="28"/>
                <w:rFonts w:hint="eastAsia" w:ascii="宋体" w:hAnsi="宋体" w:cs="宋体"/>
                <w:b w:val="0"/>
                <w:color w:val="auto"/>
                <w:sz w:val="22"/>
                <w:highlight w:val="none"/>
              </w:rPr>
              <w:t>通过“政府采购云平台”上传递交的“电子加密投标文件”无法按时解密的，其投标无效。</w:t>
            </w:r>
          </w:p>
          <w:p w14:paraId="25726C90">
            <w:pPr>
              <w:tabs>
                <w:tab w:val="left" w:pos="1069"/>
                <w:tab w:val="left" w:pos="2352"/>
              </w:tabs>
              <w:snapToGrid w:val="0"/>
              <w:rPr>
                <w:rFonts w:ascii="宋体" w:hAnsi="宋体" w:cs="宋体"/>
                <w:color w:val="auto"/>
                <w:sz w:val="22"/>
                <w:highlight w:val="none"/>
              </w:rPr>
            </w:pPr>
            <w:r>
              <w:rPr>
                <w:rFonts w:hint="eastAsia" w:ascii="宋体" w:hAnsi="宋体" w:cs="宋体"/>
                <w:b/>
                <w:bCs/>
                <w:color w:val="auto"/>
                <w:sz w:val="22"/>
                <w:highlight w:val="none"/>
              </w:rPr>
              <w:t>8</w:t>
            </w:r>
            <w:r>
              <w:rPr>
                <w:rFonts w:hint="eastAsia" w:ascii="宋体" w:hAnsi="宋体" w:cs="宋体"/>
                <w:b/>
                <w:bCs/>
                <w:color w:val="auto"/>
                <w:sz w:val="22"/>
                <w:highlight w:val="none"/>
                <w:lang w:eastAsia="zh-CN"/>
              </w:rPr>
              <w:t>.</w:t>
            </w:r>
            <w:r>
              <w:rPr>
                <w:rFonts w:hint="eastAsia" w:ascii="宋体" w:hAnsi="宋体" w:cs="宋体"/>
                <w:color w:val="auto"/>
                <w:sz w:val="22"/>
                <w:highlight w:val="none"/>
              </w:rPr>
              <w:t>投标截止后，在投标有效期内，供应商不能撤销投标文件。</w:t>
            </w:r>
          </w:p>
          <w:p w14:paraId="561C9D68">
            <w:pPr>
              <w:tabs>
                <w:tab w:val="left" w:pos="1069"/>
                <w:tab w:val="left" w:pos="2352"/>
              </w:tabs>
              <w:snapToGrid w:val="0"/>
              <w:rPr>
                <w:rFonts w:ascii="宋体" w:hAnsi="宋体" w:cs="宋体"/>
                <w:color w:val="auto"/>
                <w:sz w:val="22"/>
                <w:highlight w:val="none"/>
              </w:rPr>
            </w:pPr>
            <w:r>
              <w:rPr>
                <w:rFonts w:hint="eastAsia" w:ascii="宋体" w:hAnsi="宋体" w:cs="宋体"/>
                <w:color w:val="auto"/>
                <w:sz w:val="22"/>
                <w:highlight w:val="none"/>
              </w:rPr>
              <w:t>9</w:t>
            </w:r>
            <w:r>
              <w:rPr>
                <w:rFonts w:hint="eastAsia" w:ascii="宋体" w:hAnsi="宋体" w:cs="宋体"/>
                <w:color w:val="auto"/>
                <w:sz w:val="22"/>
                <w:highlight w:val="none"/>
                <w:lang w:eastAsia="zh-CN"/>
              </w:rPr>
              <w:t>.</w:t>
            </w:r>
            <w:r>
              <w:rPr>
                <w:rFonts w:hint="eastAsia" w:ascii="宋体" w:hAnsi="宋体" w:cs="宋体"/>
                <w:color w:val="auto"/>
                <w:sz w:val="22"/>
                <w:highlight w:val="none"/>
              </w:rPr>
              <w:t>存在下列行为的，招标代理机构将其失信行为上报政府采购主管部门，由主管部门按有关规定对其违法失信行为记录进行公开：</w:t>
            </w:r>
          </w:p>
          <w:p w14:paraId="0B1C78EF">
            <w:pPr>
              <w:tabs>
                <w:tab w:val="left" w:pos="1069"/>
                <w:tab w:val="left" w:pos="2352"/>
              </w:tabs>
              <w:snapToGrid w:val="0"/>
              <w:rPr>
                <w:rFonts w:ascii="宋体" w:hAnsi="宋体" w:cs="宋体"/>
                <w:color w:val="auto"/>
                <w:sz w:val="22"/>
                <w:highlight w:val="none"/>
              </w:rPr>
            </w:pPr>
            <w:r>
              <w:rPr>
                <w:rFonts w:hint="eastAsia" w:ascii="宋体" w:hAnsi="宋体" w:cs="宋体"/>
                <w:color w:val="auto"/>
                <w:sz w:val="22"/>
                <w:highlight w:val="none"/>
              </w:rPr>
              <w:t>（1）中标或者成交后，拒绝签订政府采购合同的；</w:t>
            </w:r>
          </w:p>
          <w:p w14:paraId="1C9BBAD0">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在</w:t>
            </w:r>
            <w:r>
              <w:rPr>
                <w:rFonts w:hint="eastAsia" w:ascii="宋体" w:hAnsi="宋体" w:cs="宋体"/>
                <w:color w:val="auto"/>
                <w:sz w:val="22"/>
                <w:highlight w:val="none"/>
              </w:rPr>
              <w:t>投标有效期内撤销投标文件的</w:t>
            </w:r>
            <w:r>
              <w:rPr>
                <w:rFonts w:hint="eastAsia" w:ascii="宋体" w:hAnsi="宋体" w:cs="宋体"/>
                <w:color w:val="auto"/>
                <w:sz w:val="22"/>
                <w:highlight w:val="none"/>
                <w:lang w:eastAsia="zh-CN"/>
              </w:rPr>
              <w:t>。</w:t>
            </w:r>
          </w:p>
        </w:tc>
      </w:tr>
      <w:tr w14:paraId="70F7E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F70D34C">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37C35E5">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投标样品</w:t>
            </w:r>
          </w:p>
        </w:tc>
        <w:tc>
          <w:tcPr>
            <w:tcW w:w="7619" w:type="dxa"/>
            <w:tcBorders>
              <w:top w:val="single" w:color="auto" w:sz="4" w:space="0"/>
              <w:left w:val="single" w:color="auto" w:sz="4" w:space="0"/>
              <w:right w:val="single" w:color="auto" w:sz="12" w:space="0"/>
            </w:tcBorders>
            <w:vAlign w:val="center"/>
          </w:tcPr>
          <w:p w14:paraId="60AD8813">
            <w:pPr>
              <w:tabs>
                <w:tab w:val="left" w:pos="1069"/>
                <w:tab w:val="left" w:pos="2352"/>
              </w:tabs>
              <w:adjustRightInd w:val="0"/>
              <w:snapToGrid w:val="0"/>
              <w:rPr>
                <w:rFonts w:ascii="宋体" w:hAnsi="宋体" w:cs="宋体"/>
                <w:color w:val="auto"/>
                <w:sz w:val="22"/>
                <w:highlight w:val="none"/>
              </w:rPr>
            </w:pPr>
            <w:r>
              <w:rPr>
                <w:rFonts w:hint="eastAsia" w:ascii="宋体" w:hAnsi="宋体" w:cs="宋体"/>
                <w:b/>
                <w:bCs/>
                <w:color w:val="auto"/>
                <w:kern w:val="0"/>
                <w:sz w:val="22"/>
                <w:highlight w:val="none"/>
                <w:lang w:eastAsia="zh-CN"/>
              </w:rPr>
              <w:t>☑</w:t>
            </w:r>
            <w:r>
              <w:rPr>
                <w:rFonts w:hint="eastAsia" w:ascii="宋体" w:hAnsi="宋体" w:cs="宋体"/>
                <w:color w:val="auto"/>
                <w:kern w:val="0"/>
                <w:sz w:val="22"/>
                <w:highlight w:val="none"/>
              </w:rPr>
              <w:t>不需要  □需要</w:t>
            </w:r>
          </w:p>
        </w:tc>
      </w:tr>
      <w:tr w14:paraId="38467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A6265A7">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2FDAF787">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投标保证金</w:t>
            </w:r>
          </w:p>
        </w:tc>
        <w:tc>
          <w:tcPr>
            <w:tcW w:w="7619" w:type="dxa"/>
            <w:tcBorders>
              <w:top w:val="single" w:color="auto" w:sz="4" w:space="0"/>
              <w:left w:val="single" w:color="auto" w:sz="4" w:space="0"/>
              <w:right w:val="single" w:color="auto" w:sz="12" w:space="0"/>
            </w:tcBorders>
            <w:vAlign w:val="center"/>
          </w:tcPr>
          <w:p w14:paraId="78607110">
            <w:pPr>
              <w:tabs>
                <w:tab w:val="left" w:pos="1069"/>
                <w:tab w:val="left" w:pos="2352"/>
              </w:tabs>
              <w:adjustRightInd w:val="0"/>
              <w:snapToGrid w:val="0"/>
              <w:rPr>
                <w:rFonts w:ascii="宋体" w:hAnsi="宋体" w:cs="宋体"/>
                <w:color w:val="auto"/>
                <w:sz w:val="22"/>
                <w:highlight w:val="none"/>
              </w:rPr>
            </w:pPr>
            <w:r>
              <w:rPr>
                <w:rFonts w:hint="eastAsia" w:ascii="宋体" w:hAnsi="宋体" w:cs="宋体"/>
                <w:b/>
                <w:bCs/>
                <w:color w:val="auto"/>
                <w:kern w:val="0"/>
                <w:sz w:val="22"/>
                <w:highlight w:val="none"/>
                <w:lang w:eastAsia="zh-CN"/>
              </w:rPr>
              <w:t>☑</w:t>
            </w:r>
            <w:r>
              <w:rPr>
                <w:rFonts w:hint="eastAsia" w:ascii="宋体" w:hAnsi="宋体" w:cs="宋体"/>
                <w:color w:val="auto"/>
                <w:kern w:val="0"/>
                <w:sz w:val="22"/>
                <w:highlight w:val="none"/>
              </w:rPr>
              <w:t xml:space="preserve">不需要  </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p>
        </w:tc>
      </w:tr>
      <w:tr w14:paraId="592F0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5A00405">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6DEB291D">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履约担保</w:t>
            </w:r>
          </w:p>
        </w:tc>
        <w:tc>
          <w:tcPr>
            <w:tcW w:w="7619" w:type="dxa"/>
            <w:tcBorders>
              <w:top w:val="single" w:color="auto" w:sz="4" w:space="0"/>
              <w:left w:val="single" w:color="auto" w:sz="4" w:space="0"/>
              <w:right w:val="single" w:color="auto" w:sz="12" w:space="0"/>
            </w:tcBorders>
            <w:vAlign w:val="center"/>
          </w:tcPr>
          <w:p w14:paraId="49431A2A">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lang w:eastAsia="zh-CN"/>
              </w:rPr>
              <w:t>☑</w:t>
            </w:r>
            <w:r>
              <w:rPr>
                <w:rFonts w:hint="eastAsia" w:ascii="宋体" w:hAnsi="宋体" w:cs="宋体"/>
                <w:color w:val="auto"/>
                <w:sz w:val="22"/>
                <w:highlight w:val="none"/>
              </w:rPr>
              <w:t xml:space="preserve">不需要  </w:t>
            </w:r>
            <w:r>
              <w:rPr>
                <w:rFonts w:hint="eastAsia" w:ascii="宋体" w:hAnsi="宋体" w:cs="宋体"/>
                <w:color w:val="auto"/>
                <w:kern w:val="0"/>
                <w:sz w:val="22"/>
                <w:highlight w:val="none"/>
              </w:rPr>
              <w:sym w:font="Wingdings 2" w:char="00A3"/>
            </w:r>
            <w:r>
              <w:rPr>
                <w:rFonts w:hint="eastAsia" w:ascii="宋体" w:hAnsi="宋体" w:cs="宋体"/>
                <w:color w:val="auto"/>
                <w:kern w:val="0"/>
                <w:sz w:val="22"/>
                <w:highlight w:val="none"/>
              </w:rPr>
              <w:t>需要</w:t>
            </w:r>
          </w:p>
        </w:tc>
      </w:tr>
      <w:tr w14:paraId="19911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B6CB38E">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70D34CB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竞争性磋商文件发售时间及获取方式</w:t>
            </w:r>
          </w:p>
        </w:tc>
        <w:tc>
          <w:tcPr>
            <w:tcW w:w="7619" w:type="dxa"/>
            <w:tcBorders>
              <w:top w:val="single" w:color="auto" w:sz="4" w:space="0"/>
              <w:left w:val="single" w:color="auto" w:sz="4" w:space="0"/>
              <w:right w:val="single" w:color="auto" w:sz="12" w:space="0"/>
            </w:tcBorders>
            <w:vAlign w:val="center"/>
          </w:tcPr>
          <w:p w14:paraId="205828F1">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登录浙江省政府采购网（网址：</w:t>
            </w:r>
            <w:r>
              <w:rPr>
                <w:rFonts w:hint="eastAsia" w:ascii="宋体" w:hAnsi="宋体" w:cs="宋体"/>
                <w:color w:val="auto"/>
                <w:sz w:val="22"/>
                <w:highlight w:val="none"/>
              </w:rPr>
              <w:fldChar w:fldCharType="begin"/>
            </w:r>
            <w:r>
              <w:rPr>
                <w:color w:val="auto"/>
                <w:highlight w:val="none"/>
              </w:rPr>
              <w:instrText xml:space="preserve">HYPERLINK "http://www.zjzfcg.gov.cn）查找本项目并获取采购文件，获取采购文件时应填写正确的电子邮箱。"</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http://zfcg.czt.zj.gov.cn/）查找本项目并获取采购文件，获取采购文件时应填写正确的电子邮箱（开标时若有文件传输均发至此邮箱）。</w:t>
            </w:r>
          </w:p>
          <w:p w14:paraId="0C61968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fldChar w:fldCharType="end"/>
            </w:r>
            <w:r>
              <w:rPr>
                <w:rFonts w:hint="eastAsia" w:ascii="宋体" w:hAnsi="宋体" w:cs="宋体"/>
                <w:color w:val="auto"/>
                <w:sz w:val="22"/>
                <w:highlight w:val="none"/>
              </w:rPr>
              <w:t>采购文件获取截止时间：本项目开标时间。</w:t>
            </w:r>
          </w:p>
        </w:tc>
      </w:tr>
      <w:tr w14:paraId="16CE2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AF2D49D">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F74BB8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投标文件递交截止时间及地点</w:t>
            </w:r>
          </w:p>
        </w:tc>
        <w:tc>
          <w:tcPr>
            <w:tcW w:w="7619" w:type="dxa"/>
            <w:tcBorders>
              <w:top w:val="single" w:color="auto" w:sz="4" w:space="0"/>
              <w:left w:val="single" w:color="auto" w:sz="4" w:space="0"/>
              <w:right w:val="single" w:color="auto" w:sz="12" w:space="0"/>
            </w:tcBorders>
            <w:vAlign w:val="center"/>
          </w:tcPr>
          <w:p w14:paraId="145F537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lang w:eastAsia="zh-CN"/>
              </w:rPr>
              <w:t>2026年06月26日09:00</w:t>
            </w:r>
            <w:r>
              <w:rPr>
                <w:rFonts w:hint="eastAsia" w:ascii="宋体" w:hAnsi="宋体" w:cs="宋体"/>
                <w:color w:val="auto"/>
                <w:sz w:val="22"/>
                <w:highlight w:val="none"/>
              </w:rPr>
              <w:t>(北京时间)</w:t>
            </w:r>
          </w:p>
          <w:p w14:paraId="0E7CBB31">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投标文件递交地点：“政府采购云平台（http://zfcg.czt.zj.gov.cn/）”在线递交</w:t>
            </w:r>
          </w:p>
        </w:tc>
      </w:tr>
      <w:tr w14:paraId="6EBD2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0347736">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350FF626">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开标时间</w:t>
            </w:r>
          </w:p>
          <w:p w14:paraId="2981468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开标地点</w:t>
            </w:r>
          </w:p>
        </w:tc>
        <w:tc>
          <w:tcPr>
            <w:tcW w:w="7619" w:type="dxa"/>
            <w:tcBorders>
              <w:top w:val="single" w:color="auto" w:sz="4" w:space="0"/>
              <w:left w:val="single" w:color="auto" w:sz="4" w:space="0"/>
              <w:right w:val="single" w:color="auto" w:sz="12" w:space="0"/>
            </w:tcBorders>
            <w:vAlign w:val="center"/>
          </w:tcPr>
          <w:p w14:paraId="7CBFF8B8">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2026年06月26日09:00</w:t>
            </w:r>
            <w:r>
              <w:rPr>
                <w:rFonts w:hint="eastAsia" w:ascii="宋体" w:hAnsi="宋体" w:cs="宋体"/>
                <w:color w:val="auto"/>
                <w:sz w:val="22"/>
                <w:highlight w:val="none"/>
              </w:rPr>
              <w:t xml:space="preserve"> (北京时间)</w:t>
            </w:r>
          </w:p>
          <w:p w14:paraId="1E4EFE1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67A4C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2A657AD">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57A5569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评审地点</w:t>
            </w:r>
          </w:p>
        </w:tc>
        <w:tc>
          <w:tcPr>
            <w:tcW w:w="7619" w:type="dxa"/>
            <w:tcBorders>
              <w:top w:val="single" w:color="auto" w:sz="4" w:space="0"/>
              <w:left w:val="single" w:color="auto" w:sz="4" w:space="0"/>
              <w:right w:val="single" w:color="auto" w:sz="12" w:space="0"/>
            </w:tcBorders>
            <w:vAlign w:val="center"/>
          </w:tcPr>
          <w:p w14:paraId="1100B36C">
            <w:pPr>
              <w:tabs>
                <w:tab w:val="left" w:pos="1069"/>
                <w:tab w:val="left" w:pos="2352"/>
              </w:tabs>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泰顺县公共资源交易中心</w:t>
            </w:r>
            <w:r>
              <w:rPr>
                <w:rFonts w:hint="eastAsia" w:ascii="宋体" w:hAnsi="宋体" w:cs="宋体"/>
                <w:color w:val="auto"/>
                <w:sz w:val="22"/>
                <w:highlight w:val="none"/>
                <w:lang w:val="en-US" w:eastAsia="zh-CN"/>
              </w:rPr>
              <w:t>5</w:t>
            </w:r>
            <w:r>
              <w:rPr>
                <w:rFonts w:hint="eastAsia" w:ascii="宋体" w:hAnsi="宋体" w:cs="宋体"/>
                <w:color w:val="auto"/>
                <w:sz w:val="22"/>
                <w:highlight w:val="none"/>
                <w:lang w:eastAsia="zh-CN"/>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lang w:eastAsia="zh-CN"/>
              </w:rPr>
              <w:t>号）</w:t>
            </w:r>
          </w:p>
        </w:tc>
      </w:tr>
      <w:tr w14:paraId="6838B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E4099A0">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025D31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开标程序</w:t>
            </w:r>
          </w:p>
        </w:tc>
        <w:tc>
          <w:tcPr>
            <w:tcW w:w="7619" w:type="dxa"/>
            <w:tcBorders>
              <w:top w:val="single" w:color="auto" w:sz="4" w:space="0"/>
              <w:left w:val="single" w:color="auto" w:sz="4" w:space="0"/>
              <w:right w:val="single" w:color="auto" w:sz="12" w:space="0"/>
            </w:tcBorders>
            <w:vAlign w:val="center"/>
          </w:tcPr>
          <w:p w14:paraId="7B084F3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（一）开标准备</w:t>
            </w:r>
          </w:p>
          <w:p w14:paraId="2D30967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6BB7BA2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2.若磋商供应商在规定时间内无法解密或解密失败的，其投标无效。</w:t>
            </w:r>
          </w:p>
          <w:p w14:paraId="35A0FA1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w:t>
            </w:r>
            <w:r>
              <w:rPr>
                <w:rFonts w:hint="eastAsia" w:ascii="宋体" w:hAnsi="宋体" w:cs="宋体"/>
                <w:color w:val="auto"/>
                <w:sz w:val="22"/>
                <w:highlight w:val="none"/>
                <w:lang w:eastAsia="zh-CN"/>
              </w:rPr>
              <w:t>95763</w:t>
            </w:r>
            <w:r>
              <w:rPr>
                <w:rFonts w:hint="eastAsia" w:ascii="宋体" w:hAnsi="宋体" w:cs="宋体"/>
                <w:color w:val="auto"/>
                <w:sz w:val="22"/>
                <w:highlight w:val="none"/>
              </w:rPr>
              <w:t>）。</w:t>
            </w:r>
          </w:p>
          <w:p w14:paraId="56247F4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（二）电子招投标开标及评审程序</w:t>
            </w:r>
          </w:p>
          <w:p w14:paraId="7866666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5929354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2.投标文件解密结束，开启响应文件，磋商小组对资格和商务技术响应文件进行评审；</w:t>
            </w:r>
          </w:p>
          <w:p w14:paraId="15FBEF1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3.供应商按签到的前后顺序决定磋商的顺序，就价格、服务等认为需要磋商的内容进行磋商，供应商逐家回答磋商小组的提问，响应人作出最终承诺和最终报价。</w:t>
            </w:r>
          </w:p>
          <w:p w14:paraId="3050DA9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5.在系统上公开资格和</w:t>
            </w:r>
            <w:r>
              <w:rPr>
                <w:rFonts w:hint="eastAsia" w:hAnsi="宋体" w:cs="宋体"/>
                <w:color w:val="auto"/>
                <w:sz w:val="22"/>
                <w:highlight w:val="none"/>
              </w:rPr>
              <w:t>商务技术评分</w:t>
            </w:r>
            <w:r>
              <w:rPr>
                <w:rFonts w:hint="eastAsia" w:ascii="宋体" w:hAnsi="宋体" w:cs="宋体"/>
                <w:color w:val="auto"/>
                <w:sz w:val="22"/>
                <w:highlight w:val="none"/>
              </w:rPr>
              <w:t>评审结果；</w:t>
            </w:r>
          </w:p>
          <w:p w14:paraId="26A3B571">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6.在系统上录入最终报价情况；</w:t>
            </w:r>
          </w:p>
          <w:p w14:paraId="4D90346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7.磋商小组对报价情况进行评审；</w:t>
            </w:r>
          </w:p>
          <w:p w14:paraId="524B615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8.在系统上公布评审结果。</w:t>
            </w:r>
          </w:p>
          <w:p w14:paraId="182BC424">
            <w:pPr>
              <w:tabs>
                <w:tab w:val="left" w:pos="1069"/>
                <w:tab w:val="left" w:pos="2352"/>
              </w:tabs>
              <w:jc w:val="left"/>
              <w:rPr>
                <w:rFonts w:ascii="宋体" w:hAnsi="宋体" w:cs="宋体"/>
                <w:color w:val="auto"/>
                <w:sz w:val="22"/>
                <w:highlight w:val="none"/>
              </w:rPr>
            </w:pPr>
            <w:r>
              <w:rPr>
                <w:rFonts w:hint="eastAsia" w:ascii="宋体" w:hAnsi="宋体" w:cs="宋体"/>
                <w:b/>
                <w:bCs/>
                <w:color w:val="auto"/>
                <w:sz w:val="22"/>
                <w:highlight w:val="none"/>
              </w:rPr>
              <w:t>特别说明：政采云公司如对电子化开标及评审程序有调整的，按调整后的程序操作。</w:t>
            </w:r>
          </w:p>
        </w:tc>
      </w:tr>
      <w:tr w14:paraId="42C4A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4E59833">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5CDAB24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评审小组</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磋商小组</w:t>
            </w:r>
            <w:r>
              <w:rPr>
                <w:rFonts w:hint="eastAsia" w:ascii="宋体" w:hAnsi="宋体" w:cs="宋体"/>
                <w:color w:val="auto"/>
                <w:sz w:val="22"/>
                <w:highlight w:val="none"/>
                <w:lang w:eastAsia="zh-CN"/>
              </w:rPr>
              <w:t>）</w:t>
            </w:r>
            <w:r>
              <w:rPr>
                <w:rFonts w:hint="eastAsia" w:ascii="宋体" w:hAnsi="宋体" w:cs="宋体"/>
                <w:color w:val="auto"/>
                <w:sz w:val="22"/>
                <w:highlight w:val="none"/>
              </w:rPr>
              <w:t>的</w:t>
            </w:r>
          </w:p>
          <w:p w14:paraId="3EB0F10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组建</w:t>
            </w:r>
          </w:p>
        </w:tc>
        <w:tc>
          <w:tcPr>
            <w:tcW w:w="7619" w:type="dxa"/>
            <w:tcBorders>
              <w:top w:val="single" w:color="auto" w:sz="4" w:space="0"/>
              <w:left w:val="single" w:color="auto" w:sz="4" w:space="0"/>
              <w:right w:val="single" w:color="auto" w:sz="12" w:space="0"/>
            </w:tcBorders>
            <w:vAlign w:val="center"/>
          </w:tcPr>
          <w:p w14:paraId="151F411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由采购人代表以及有关技术、经济等方面的专家组成，成员为3人及以上单数，其中技术、经济类专家不得少于总人数的2/3；评标专家确定方式：按相关规定从专家库中抽取。</w:t>
            </w:r>
          </w:p>
        </w:tc>
      </w:tr>
      <w:tr w14:paraId="41863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C9F2A2C">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4DFA028C">
            <w:pPr>
              <w:adjustRightInd w:val="0"/>
              <w:jc w:val="center"/>
              <w:rPr>
                <w:rFonts w:ascii="宋体" w:hAnsi="宋体" w:cs="宋体"/>
                <w:color w:val="auto"/>
                <w:sz w:val="22"/>
                <w:highlight w:val="none"/>
              </w:rPr>
            </w:pPr>
            <w:r>
              <w:rPr>
                <w:rFonts w:hint="eastAsia" w:ascii="宋体" w:hAnsi="宋体" w:cs="宋体"/>
                <w:color w:val="auto"/>
                <w:sz w:val="22"/>
                <w:highlight w:val="none"/>
              </w:rPr>
              <w:t>政府采购</w:t>
            </w:r>
          </w:p>
          <w:p w14:paraId="40D21C76">
            <w:pPr>
              <w:adjustRightInd w:val="0"/>
              <w:jc w:val="center"/>
              <w:rPr>
                <w:rFonts w:ascii="宋体" w:hAnsi="宋体" w:cs="宋体"/>
                <w:color w:val="auto"/>
                <w:sz w:val="22"/>
                <w:highlight w:val="none"/>
              </w:rPr>
            </w:pPr>
            <w:r>
              <w:rPr>
                <w:rFonts w:hint="eastAsia" w:ascii="宋体" w:hAnsi="宋体" w:cs="宋体"/>
                <w:color w:val="auto"/>
                <w:sz w:val="22"/>
                <w:highlight w:val="none"/>
              </w:rPr>
              <w:t>扶持政策</w:t>
            </w:r>
          </w:p>
        </w:tc>
        <w:tc>
          <w:tcPr>
            <w:tcW w:w="7619" w:type="dxa"/>
            <w:tcBorders>
              <w:top w:val="single" w:color="auto" w:sz="4" w:space="0"/>
              <w:left w:val="single" w:color="auto" w:sz="4" w:space="0"/>
              <w:right w:val="single" w:color="auto" w:sz="12" w:space="0"/>
            </w:tcBorders>
            <w:vAlign w:val="center"/>
          </w:tcPr>
          <w:p w14:paraId="1CD2580F">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eastAsia="宋体" w:cs="宋体"/>
                <w:color w:val="auto"/>
                <w:sz w:val="22"/>
                <w:highlight w:val="none"/>
              </w:rPr>
              <w:t>本</w:t>
            </w:r>
            <w:r>
              <w:rPr>
                <w:rFonts w:hint="eastAsia" w:ascii="宋体" w:hAnsi="宋体" w:eastAsia="宋体" w:cs="宋体"/>
                <w:color w:val="auto"/>
                <w:sz w:val="22"/>
                <w:highlight w:val="none"/>
                <w:lang w:val="en-US" w:eastAsia="zh-CN"/>
              </w:rPr>
              <w:t>项目专门面向中小企业采购，不再执行价格评审优惠的扶持政策</w:t>
            </w:r>
            <w:r>
              <w:rPr>
                <w:rFonts w:hint="eastAsia" w:ascii="宋体" w:cs="Arial"/>
                <w:color w:val="auto"/>
                <w:sz w:val="22"/>
                <w:highlight w:val="none"/>
              </w:rPr>
              <w:t>。</w:t>
            </w:r>
          </w:p>
          <w:p w14:paraId="24547B54">
            <w:pPr>
              <w:rPr>
                <w:rFonts w:ascii="宋体" w:hAnsi="宋体" w:cs="宋体"/>
                <w:color w:val="auto"/>
                <w:sz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09E50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C57C877">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1164E02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供应商信用查询</w:t>
            </w:r>
          </w:p>
        </w:tc>
        <w:tc>
          <w:tcPr>
            <w:tcW w:w="7619" w:type="dxa"/>
            <w:tcBorders>
              <w:top w:val="single" w:color="auto" w:sz="4" w:space="0"/>
              <w:left w:val="single" w:color="auto" w:sz="4" w:space="0"/>
              <w:right w:val="single" w:color="auto" w:sz="12" w:space="0"/>
            </w:tcBorders>
            <w:vAlign w:val="center"/>
          </w:tcPr>
          <w:p w14:paraId="26ED9D7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投标供应商信用信息查询的查询渠道：“信用中国”(</w:t>
            </w:r>
            <w:r>
              <w:rPr>
                <w:rFonts w:hint="eastAsia" w:ascii="宋体" w:hAnsi="宋体" w:cs="宋体"/>
                <w:color w:val="auto"/>
                <w:sz w:val="22"/>
                <w:highlight w:val="none"/>
              </w:rPr>
              <w:fldChar w:fldCharType="begin"/>
            </w:r>
            <w:r>
              <w:rPr>
                <w:color w:val="auto"/>
                <w:highlight w:val="none"/>
              </w:rPr>
              <w:instrText xml:space="preserve">HYPERLINK "http://www.creditchina.gov.cn"</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w:t>
            </w:r>
          </w:p>
          <w:p w14:paraId="5BBFB7F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投标供应商信用信息查询截止时点：本项目投标截止时间前。</w:t>
            </w:r>
          </w:p>
          <w:p w14:paraId="0EE91A6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投标供应商信用信息查询记录和证据留存的具体方式：网页截图打印；</w:t>
            </w:r>
          </w:p>
          <w:p w14:paraId="1C94DBB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color w:val="auto"/>
                <w:sz w:val="22"/>
                <w:highlight w:val="none"/>
              </w:rPr>
              <w:t>信用信息的使用规则：信用中国”被列入失信被执行人名单、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的供应商，或“中国政府采购网”具有严重违法失信行为信息记录的供应商，其投标</w:t>
            </w:r>
            <w:r>
              <w:rPr>
                <w:rFonts w:hint="eastAsia" w:ascii="宋体" w:hAnsi="宋体" w:cs="宋体"/>
                <w:color w:val="auto"/>
                <w:sz w:val="22"/>
                <w:highlight w:val="none"/>
                <w:lang w:eastAsia="zh-CN"/>
              </w:rPr>
              <w:t>作</w:t>
            </w:r>
            <w:r>
              <w:rPr>
                <w:rFonts w:hint="eastAsia" w:ascii="宋体" w:hAnsi="宋体" w:cs="宋体"/>
                <w:color w:val="auto"/>
                <w:sz w:val="22"/>
                <w:highlight w:val="none"/>
              </w:rPr>
              <w:t>无效投标处理；</w:t>
            </w:r>
          </w:p>
        </w:tc>
      </w:tr>
      <w:tr w14:paraId="12849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10565A9">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32285B6">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合同备案</w:t>
            </w:r>
          </w:p>
        </w:tc>
        <w:tc>
          <w:tcPr>
            <w:tcW w:w="7619" w:type="dxa"/>
            <w:tcBorders>
              <w:top w:val="single" w:color="auto" w:sz="4" w:space="0"/>
              <w:left w:val="single" w:color="auto" w:sz="4" w:space="0"/>
              <w:right w:val="single" w:color="auto" w:sz="12" w:space="0"/>
            </w:tcBorders>
            <w:vAlign w:val="center"/>
          </w:tcPr>
          <w:p w14:paraId="79B56995">
            <w:pPr>
              <w:tabs>
                <w:tab w:val="left" w:pos="1069"/>
                <w:tab w:val="left" w:pos="2352"/>
              </w:tabs>
              <w:jc w:val="both"/>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中标（成交）供应商须在发出中标（成交）通知书之日起30日历天内与</w:t>
            </w:r>
          </w:p>
          <w:p w14:paraId="117ADFB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采购人签订合同。</w:t>
            </w:r>
          </w:p>
          <w:p w14:paraId="61822DC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中标（成交）供应商与采购人签订合同后，2日历天内将合同原件交招标代理机构备案。</w:t>
            </w:r>
          </w:p>
          <w:p w14:paraId="1ABD8AC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本项目政府采购合同按规定在浙江政府采购网（http://zfcg.czt.zj.gov.cn/）予以公告。</w:t>
            </w:r>
          </w:p>
        </w:tc>
      </w:tr>
      <w:tr w14:paraId="7FAC1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9CF1F69">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DFAC9EF">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合同履约管理</w:t>
            </w:r>
          </w:p>
        </w:tc>
        <w:tc>
          <w:tcPr>
            <w:tcW w:w="7619" w:type="dxa"/>
            <w:tcBorders>
              <w:top w:val="single" w:color="auto" w:sz="4" w:space="0"/>
              <w:left w:val="single" w:color="auto" w:sz="4" w:space="0"/>
              <w:right w:val="single" w:color="auto" w:sz="12" w:space="0"/>
            </w:tcBorders>
            <w:vAlign w:val="center"/>
          </w:tcPr>
          <w:p w14:paraId="70AF4BC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合同签订后，采购人依法加强对合同履约进行管理，并在中标（成交）单位供货（或服务）、项目验收等重要</w:t>
            </w:r>
            <w:r>
              <w:rPr>
                <w:rFonts w:hint="eastAsia" w:ascii="宋体" w:hAnsi="宋体" w:cs="宋体"/>
                <w:color w:val="auto"/>
                <w:sz w:val="22"/>
                <w:highlight w:val="none"/>
                <w:lang w:val="en-US" w:eastAsia="zh-CN"/>
              </w:rPr>
              <w:t>环</w:t>
            </w:r>
            <w:r>
              <w:rPr>
                <w:rFonts w:hint="eastAsia" w:ascii="宋体" w:hAnsi="宋体" w:cs="宋体"/>
                <w:color w:val="auto"/>
                <w:sz w:val="22"/>
                <w:highlight w:val="none"/>
              </w:rPr>
              <w:t>节，如实填写《合同验收报告》（表附合同条款中），并及时向同级财政部门报告验收过程中遇到的问题。</w:t>
            </w:r>
          </w:p>
        </w:tc>
      </w:tr>
      <w:tr w14:paraId="3344D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CF71D84">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tcBorders>
              <w:top w:val="single" w:color="auto" w:sz="4" w:space="0"/>
              <w:left w:val="single" w:color="auto" w:sz="4" w:space="0"/>
              <w:right w:val="single" w:color="auto" w:sz="4" w:space="0"/>
            </w:tcBorders>
            <w:vAlign w:val="center"/>
          </w:tcPr>
          <w:p w14:paraId="0B2D178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免责声明</w:t>
            </w:r>
          </w:p>
        </w:tc>
        <w:tc>
          <w:tcPr>
            <w:tcW w:w="7619" w:type="dxa"/>
            <w:tcBorders>
              <w:top w:val="single" w:color="auto" w:sz="4" w:space="0"/>
              <w:left w:val="single" w:color="auto" w:sz="4" w:space="0"/>
              <w:right w:val="single" w:color="auto" w:sz="12" w:space="0"/>
            </w:tcBorders>
            <w:vAlign w:val="center"/>
          </w:tcPr>
          <w:p w14:paraId="71E8EA6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投标供应商自行承担投标过程中产生的费用。无论何种因素导致采购项目延期开标、废标（流标）、投标供应商未成交、项目终止采购的，采购人与代理机构均不承担供应商投标费用。</w:t>
            </w:r>
          </w:p>
          <w:p w14:paraId="3E7954F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投标供应商在投标、合同履行过程中必须做好安全保障工作，不因项目实施而危及自身及第三方人员、财产安全。若发生任何安全事故，由中标（成交）供应商自行承担一切责任并赔偿损失。</w:t>
            </w:r>
          </w:p>
        </w:tc>
      </w:tr>
      <w:tr w14:paraId="4CB52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020CC1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bookmarkStart w:id="2" w:name="_Toc758_WPSOffice_Level1"/>
          </w:p>
        </w:tc>
        <w:tc>
          <w:tcPr>
            <w:tcW w:w="1600" w:type="dxa"/>
            <w:tcBorders>
              <w:top w:val="single" w:color="auto" w:sz="4" w:space="0"/>
              <w:left w:val="single" w:color="auto" w:sz="4" w:space="0"/>
              <w:right w:val="single" w:color="auto" w:sz="4" w:space="0"/>
            </w:tcBorders>
            <w:vAlign w:val="center"/>
          </w:tcPr>
          <w:p w14:paraId="031D79BC">
            <w:pPr>
              <w:tabs>
                <w:tab w:val="left" w:pos="1069"/>
                <w:tab w:val="left" w:pos="2352"/>
              </w:tabs>
              <w:jc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其他</w:t>
            </w:r>
          </w:p>
        </w:tc>
        <w:tc>
          <w:tcPr>
            <w:tcW w:w="7619" w:type="dxa"/>
            <w:tcBorders>
              <w:top w:val="single" w:color="auto" w:sz="4" w:space="0"/>
              <w:left w:val="single" w:color="auto" w:sz="4" w:space="0"/>
              <w:right w:val="single" w:color="auto" w:sz="12" w:space="0"/>
            </w:tcBorders>
            <w:vAlign w:val="center"/>
          </w:tcPr>
          <w:p w14:paraId="20D8DAB8">
            <w:pPr>
              <w:tabs>
                <w:tab w:val="left" w:pos="1069"/>
                <w:tab w:val="left" w:pos="2352"/>
              </w:tabs>
              <w:rPr>
                <w:rFonts w:hint="eastAsia" w:ascii="宋体" w:hAnsi="宋体" w:cs="宋体"/>
                <w:color w:val="auto"/>
                <w:sz w:val="22"/>
                <w:highlight w:val="none"/>
              </w:rPr>
            </w:pPr>
            <w:r>
              <w:rPr>
                <w:rFonts w:hint="eastAsia" w:ascii="宋体" w:hAnsi="宋体" w:cs="宋体"/>
                <w:b/>
                <w:bCs/>
                <w:color w:val="auto"/>
                <w:sz w:val="22"/>
                <w:highlight w:val="none"/>
                <w:u w:val="single"/>
              </w:rPr>
              <w:t>中标后，中标（成交）供应商须提供4份纸质投标文件至招标代理机构处作为纸质存档</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lang w:val="en-US" w:eastAsia="zh-CN"/>
              </w:rPr>
              <w:t>邮寄地址详见公告</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w:t>
            </w:r>
          </w:p>
        </w:tc>
      </w:tr>
    </w:tbl>
    <w:p w14:paraId="7E925F20">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bookmarkEnd w:id="2"/>
    <w:p w14:paraId="6EECF003">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bookmarkStart w:id="3" w:name="_Toc5493_WPSOffice_Level1"/>
    </w:p>
    <w:p w14:paraId="609F18D4">
      <w:pPr>
        <w:widowControl/>
        <w:autoSpaceDE w:val="0"/>
        <w:autoSpaceDN w:val="0"/>
        <w:adjustRightInd w:val="0"/>
        <w:snapToGrid w:val="0"/>
        <w:spacing w:line="400" w:lineRule="atLeast"/>
        <w:jc w:val="center"/>
        <w:textAlignment w:val="bottom"/>
        <w:rPr>
          <w:rFonts w:hint="eastAsia" w:ascii="宋体" w:hAnsi="Calibri" w:eastAsia="宋体" w:cs="Times New Roman"/>
          <w:b/>
          <w:color w:val="auto"/>
          <w:kern w:val="0"/>
          <w:sz w:val="32"/>
          <w:szCs w:val="32"/>
          <w:highlight w:val="none"/>
        </w:rPr>
      </w:pPr>
      <w:r>
        <w:rPr>
          <w:rFonts w:hint="eastAsia" w:ascii="宋体" w:hAnsi="Calibri" w:eastAsia="宋体" w:cs="Times New Roman"/>
          <w:b/>
          <w:color w:val="auto"/>
          <w:kern w:val="0"/>
          <w:sz w:val="32"/>
          <w:szCs w:val="32"/>
          <w:highlight w:val="none"/>
        </w:rPr>
        <w:t>第二部分 招标内容及技术要求</w:t>
      </w:r>
      <w:bookmarkStart w:id="4" w:name="_Toc142902564"/>
      <w:bookmarkEnd w:id="4"/>
    </w:p>
    <w:p w14:paraId="7074571D">
      <w:pPr>
        <w:spacing w:line="400" w:lineRule="exact"/>
        <w:ind w:firstLine="446" w:firstLineChars="200"/>
        <w:rPr>
          <w:rFonts w:hint="eastAsia" w:ascii="宋体" w:cs="宋体"/>
          <w:b/>
          <w:bCs/>
          <w:color w:val="auto"/>
          <w:sz w:val="22"/>
          <w:szCs w:val="22"/>
          <w:highlight w:val="none"/>
          <w:lang w:bidi="ar-SA"/>
        </w:rPr>
      </w:pPr>
      <w:r>
        <w:rPr>
          <w:rFonts w:hint="eastAsia" w:ascii="宋体" w:cs="宋体"/>
          <w:b/>
          <w:bCs/>
          <w:color w:val="auto"/>
          <w:sz w:val="22"/>
          <w:szCs w:val="22"/>
          <w:highlight w:val="none"/>
          <w:lang w:bidi="ar-SA"/>
        </w:rPr>
        <w:t xml:space="preserve">一、总则 </w:t>
      </w:r>
    </w:p>
    <w:p w14:paraId="3275FD96">
      <w:pPr>
        <w:spacing w:line="400" w:lineRule="exact"/>
        <w:ind w:firstLine="446" w:firstLineChars="200"/>
        <w:rPr>
          <w:rFonts w:ascii="宋体" w:hAnsi="Times New Roman" w:eastAsia="宋体" w:cs="宋体"/>
          <w:color w:val="auto"/>
          <w:sz w:val="22"/>
          <w:highlight w:val="none"/>
        </w:rPr>
      </w:pPr>
      <w:r>
        <w:rPr>
          <w:rFonts w:hint="eastAsia" w:ascii="宋体" w:hAnsi="Times New Roman" w:eastAsia="宋体" w:cs="宋体"/>
          <w:color w:val="auto"/>
          <w:sz w:val="22"/>
          <w:highlight w:val="none"/>
        </w:rPr>
        <w:t>1</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本部分所描述的采购服务要求为本项目的最低要求，投标供应商可根据自身的实际情况提供高于本项目最低要求的服务。投标供应商所提供的服务除</w:t>
      </w:r>
      <w:r>
        <w:rPr>
          <w:rFonts w:hint="eastAsia" w:ascii="宋体" w:hAnsi="Times New Roman" w:eastAsia="宋体" w:cs="宋体"/>
          <w:color w:val="auto"/>
          <w:sz w:val="22"/>
          <w:highlight w:val="none"/>
          <w:lang w:eastAsia="zh-CN"/>
        </w:rPr>
        <w:t>须</w:t>
      </w:r>
      <w:r>
        <w:rPr>
          <w:rFonts w:hint="eastAsia" w:ascii="宋体" w:hAnsi="Times New Roman" w:eastAsia="宋体" w:cs="宋体"/>
          <w:color w:val="auto"/>
          <w:sz w:val="22"/>
          <w:highlight w:val="none"/>
        </w:rPr>
        <w:t>符合本项目的采购要求外，还需符合国家标准或行业标准（</w:t>
      </w:r>
      <w:r>
        <w:rPr>
          <w:rFonts w:hint="eastAsia" w:ascii="Times New Roman" w:hAnsi="Times New Roman" w:eastAsia="宋体" w:cs="Times New Roman"/>
          <w:color w:val="auto"/>
          <w:highlight w:val="none"/>
        </w:rPr>
        <w:t>以国家标准为准，无国家标准的参照行业</w:t>
      </w:r>
      <w:r>
        <w:rPr>
          <w:rFonts w:hint="eastAsia" w:ascii="Times New Roman" w:hAnsi="Times New Roman" w:eastAsia="宋体" w:cs="Times New Roman"/>
          <w:color w:val="auto"/>
          <w:highlight w:val="none"/>
          <w:lang w:eastAsia="zh-CN"/>
        </w:rPr>
        <w:t>标准</w:t>
      </w:r>
      <w:r>
        <w:rPr>
          <w:rFonts w:hint="eastAsia" w:ascii="宋体" w:hAnsi="Times New Roman" w:eastAsia="宋体" w:cs="宋体"/>
          <w:color w:val="auto"/>
          <w:sz w:val="22"/>
          <w:highlight w:val="none"/>
        </w:rPr>
        <w:t>）。</w:t>
      </w:r>
    </w:p>
    <w:p w14:paraId="101B50C3">
      <w:pPr>
        <w:spacing w:line="400" w:lineRule="exact"/>
        <w:ind w:firstLine="501" w:firstLineChars="225"/>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2</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投标供应商提供的服务产品与本部分所描述的采购服务要求不一致时，投标供应商应在投标文件中予以说明，并由</w:t>
      </w:r>
      <w:r>
        <w:rPr>
          <w:rFonts w:hint="eastAsia" w:ascii="宋体" w:hAnsi="Times New Roman" w:eastAsia="宋体" w:cs="宋体"/>
          <w:color w:val="auto"/>
          <w:sz w:val="22"/>
          <w:highlight w:val="none"/>
          <w:lang w:eastAsia="zh-CN"/>
        </w:rPr>
        <w:t>评审小组（</w:t>
      </w:r>
      <w:r>
        <w:rPr>
          <w:rFonts w:hint="eastAsia" w:ascii="宋体" w:hAnsi="Times New Roman" w:eastAsia="宋体" w:cs="宋体"/>
          <w:color w:val="auto"/>
          <w:sz w:val="22"/>
          <w:highlight w:val="none"/>
          <w:lang w:val="en-US" w:eastAsia="zh-CN"/>
        </w:rPr>
        <w:t>磋商小组</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鉴定投标供应商的服务能否达到要求。如投标供应商没有在投标文件中提出异议，则视为投标供应商提供的服务完全按照本采购文件要求。</w:t>
      </w:r>
    </w:p>
    <w:p w14:paraId="4BAD4813">
      <w:pPr>
        <w:spacing w:line="400" w:lineRule="exact"/>
        <w:ind w:firstLine="501" w:firstLineChars="225"/>
        <w:rPr>
          <w:rFonts w:hint="eastAsia" w:ascii="宋体" w:hAnsi="Times New Roman" w:eastAsia="宋体" w:cs="宋体"/>
          <w:b/>
          <w:bCs/>
          <w:color w:val="auto"/>
          <w:sz w:val="22"/>
          <w:highlight w:val="none"/>
        </w:rPr>
      </w:pPr>
      <w:r>
        <w:rPr>
          <w:rFonts w:hint="eastAsia" w:ascii="宋体" w:cs="宋体"/>
          <w:b/>
          <w:bCs/>
          <w:color w:val="auto"/>
          <w:sz w:val="22"/>
          <w:highlight w:val="none"/>
          <w:lang w:val="en-US" w:eastAsia="zh-CN"/>
        </w:rPr>
        <w:t>二、</w:t>
      </w:r>
      <w:r>
        <w:rPr>
          <w:rFonts w:hint="eastAsia" w:ascii="宋体" w:hAnsi="Times New Roman" w:eastAsia="宋体" w:cs="宋体"/>
          <w:b/>
          <w:bCs/>
          <w:color w:val="auto"/>
          <w:sz w:val="22"/>
          <w:highlight w:val="none"/>
        </w:rPr>
        <w:t>采购内容及技术要求</w:t>
      </w:r>
    </w:p>
    <w:p w14:paraId="08579EC0">
      <w:pPr>
        <w:spacing w:line="400" w:lineRule="exact"/>
        <w:ind w:firstLine="501" w:firstLineChars="225"/>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lang w:val="en-US" w:eastAsia="zh-CN"/>
        </w:rPr>
        <w:t>1.保洁区域及内容含建城区新塘垟村，包垟店村，包垟底村及所属小区环卫保洁及垃圾清运。外围岩上村，林岙村，横溪村，卓南坑村，云湖谷村含各外围村下辖自然村环卫保洁以及垃圾清运。包垟乡马迹码头，少年垟码头，双板桥码头，银珠坑码头4个码头定期垃圾清运及保洁。</w:t>
      </w:r>
      <w:r>
        <w:rPr>
          <w:rFonts w:hint="eastAsia" w:ascii="宋体" w:cs="宋体"/>
          <w:color w:val="auto"/>
          <w:sz w:val="22"/>
          <w:highlight w:val="none"/>
          <w:lang w:val="en-US" w:eastAsia="zh-CN"/>
        </w:rPr>
        <w:t>建成区</w:t>
      </w:r>
      <w:r>
        <w:rPr>
          <w:rFonts w:hint="eastAsia" w:ascii="宋体" w:hAnsi="Times New Roman" w:eastAsia="宋体" w:cs="宋体"/>
          <w:color w:val="auto"/>
          <w:sz w:val="22"/>
          <w:highlight w:val="none"/>
          <w:lang w:val="en-US" w:eastAsia="zh-CN"/>
        </w:rPr>
        <w:t>河道一条，公共卫生间3座。外围村公厕11座保洁及维护。（</w:t>
      </w:r>
      <w:r>
        <w:rPr>
          <w:rFonts w:hint="eastAsia" w:ascii="宋体" w:hAnsi="Times New Roman" w:eastAsia="宋体" w:cs="宋体"/>
          <w:color w:val="auto"/>
          <w:sz w:val="22"/>
          <w:highlight w:val="none"/>
        </w:rPr>
        <w:t>不包含垃圾中转站垃圾进城</w:t>
      </w:r>
      <w:r>
        <w:rPr>
          <w:rFonts w:hint="eastAsia" w:ascii="宋体" w:hAnsi="Times New Roman" w:eastAsia="宋体" w:cs="宋体"/>
          <w:color w:val="auto"/>
          <w:sz w:val="22"/>
          <w:highlight w:val="none"/>
          <w:lang w:val="en-US" w:eastAsia="zh-CN"/>
        </w:rPr>
        <w:t>）</w:t>
      </w:r>
    </w:p>
    <w:p w14:paraId="0559C6ED">
      <w:pPr>
        <w:spacing w:line="400" w:lineRule="exact"/>
        <w:ind w:firstLine="501" w:firstLineChars="225"/>
        <w:rPr>
          <w:rFonts w:hint="eastAsia" w:ascii="宋体" w:hAnsi="Times New Roman" w:eastAsia="宋体" w:cs="宋体"/>
          <w:color w:val="auto"/>
          <w:sz w:val="22"/>
          <w:highlight w:val="none"/>
          <w:lang w:eastAsia="zh-CN"/>
        </w:rPr>
      </w:pPr>
      <w:r>
        <w:rPr>
          <w:rFonts w:hint="eastAsia" w:ascii="宋体" w:hAnsi="Times New Roman" w:eastAsia="宋体" w:cs="宋体"/>
          <w:color w:val="auto"/>
          <w:sz w:val="22"/>
          <w:highlight w:val="none"/>
        </w:rPr>
        <w:t>保洁范围及频次见《</w:t>
      </w:r>
      <w:r>
        <w:rPr>
          <w:rFonts w:hint="eastAsia" w:ascii="宋体" w:hAnsi="Times New Roman" w:eastAsia="宋体" w:cs="宋体"/>
          <w:color w:val="auto"/>
          <w:sz w:val="22"/>
          <w:highlight w:val="none"/>
          <w:lang w:eastAsia="zh-CN"/>
        </w:rPr>
        <w:t>泰顺县包垟乡生活垃圾保洁工作量一览表(202</w:t>
      </w:r>
      <w:r>
        <w:rPr>
          <w:rFonts w:hint="eastAsia" w:ascii="宋体" w:cs="宋体"/>
          <w:color w:val="auto"/>
          <w:sz w:val="22"/>
          <w:highlight w:val="none"/>
          <w:lang w:val="en-US" w:eastAsia="zh-CN"/>
        </w:rPr>
        <w:t>5</w:t>
      </w:r>
      <w:r>
        <w:rPr>
          <w:rFonts w:hint="eastAsia" w:ascii="宋体" w:hAnsi="Times New Roman" w:eastAsia="宋体" w:cs="宋体"/>
          <w:color w:val="auto"/>
          <w:sz w:val="22"/>
          <w:highlight w:val="none"/>
          <w:lang w:eastAsia="zh-CN"/>
        </w:rPr>
        <w:t>年参考)</w:t>
      </w:r>
      <w:r>
        <w:rPr>
          <w:rFonts w:hint="eastAsia" w:ascii="宋体" w:hAnsi="Times New Roman" w:eastAsia="宋体" w:cs="宋体"/>
          <w:color w:val="auto"/>
          <w:sz w:val="22"/>
          <w:highlight w:val="none"/>
        </w:rPr>
        <w:t>》。</w:t>
      </w:r>
    </w:p>
    <w:p w14:paraId="115DD759">
      <w:pPr>
        <w:spacing w:line="400" w:lineRule="exact"/>
        <w:ind w:firstLine="501" w:firstLineChars="225"/>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1）气温3-30℃，路面冲洗每周不少于2次，路面洒水每天不少于2次；气温30℃以上时，路面洒水每天不少于3次；气温低于3℃停止冲洗和洒水；作业时间为晚上或清晨，冲洗后由采购人必要时进行验收（路面见本色），并无条件服从采购人整改要求；采购人要求冲洗建成区内市场等其他区域时中标方应无条件服从并提供免费服务。</w:t>
      </w:r>
    </w:p>
    <w:p w14:paraId="7428DECD">
      <w:pPr>
        <w:spacing w:line="400" w:lineRule="exact"/>
        <w:ind w:firstLine="501" w:firstLineChars="225"/>
        <w:rPr>
          <w:rFonts w:hint="eastAsia" w:ascii="宋体" w:hAnsi="Times New Roman" w:eastAsia="宋体" w:cs="宋体"/>
          <w:color w:val="auto"/>
          <w:sz w:val="22"/>
          <w:highlight w:val="none"/>
        </w:rPr>
      </w:pPr>
      <w:r>
        <w:rPr>
          <w:rFonts w:hint="eastAsia" w:ascii="宋体" w:hAnsi="Times New Roman" w:eastAsia="宋体" w:cs="宋体"/>
          <w:color w:val="auto"/>
          <w:sz w:val="22"/>
          <w:highlight w:val="none"/>
        </w:rPr>
        <w:t>（2）交通早晚高峰期间禁止路面冲洗、洒水作业。</w:t>
      </w:r>
    </w:p>
    <w:p w14:paraId="712E53A7">
      <w:pPr>
        <w:spacing w:line="400" w:lineRule="exact"/>
        <w:ind w:firstLine="501" w:firstLineChars="225"/>
        <w:rPr>
          <w:rFonts w:ascii="宋体" w:cs="宋体"/>
          <w:color w:val="auto"/>
          <w:sz w:val="22"/>
          <w:highlight w:val="none"/>
        </w:rPr>
      </w:pPr>
      <w:r>
        <w:rPr>
          <w:rFonts w:hint="eastAsia" w:ascii="宋体" w:hAnsi="Times New Roman" w:eastAsia="宋体" w:cs="宋体"/>
          <w:color w:val="auto"/>
          <w:sz w:val="22"/>
          <w:highlight w:val="none"/>
        </w:rPr>
        <w:t>（3）出车前要进行检查后方可上路，禁止带故障运行。作业时应适当控制水压，行车速度最高不得超过20公里/小时，避免把水溅到路边的行人；上路作业时，必须打开警示灯；要遵守道路交通安全法规，礼让行车，注意行人的安全；严格按照范围、路线、时间、次数、车速进行作业，不得随意变更。作业车辆作业完毕后及时清洗</w:t>
      </w:r>
      <w:r>
        <w:rPr>
          <w:rFonts w:hint="eastAsia" w:ascii="宋体" w:cs="宋体"/>
          <w:color w:val="auto"/>
          <w:sz w:val="22"/>
          <w:highlight w:val="none"/>
        </w:rPr>
        <w:t>干净入库，做好行车、维修保养记录。</w:t>
      </w:r>
    </w:p>
    <w:p w14:paraId="2ED88570">
      <w:pPr>
        <w:spacing w:line="400" w:lineRule="exact"/>
        <w:ind w:left="443" w:leftChars="208"/>
        <w:rPr>
          <w:rFonts w:hint="eastAsia" w:ascii="宋体" w:cs="宋体"/>
          <w:color w:val="auto"/>
          <w:sz w:val="22"/>
          <w:highlight w:val="none"/>
        </w:rPr>
      </w:pPr>
      <w:r>
        <w:rPr>
          <w:rFonts w:hint="eastAsia" w:ascii="宋体" w:cs="宋体"/>
          <w:color w:val="auto"/>
          <w:sz w:val="22"/>
          <w:highlight w:val="none"/>
          <w:lang w:val="en-US" w:eastAsia="zh-CN"/>
        </w:rPr>
        <w:t>2</w:t>
      </w:r>
      <w:r>
        <w:rPr>
          <w:rFonts w:hint="eastAsia" w:ascii="宋体" w:cs="宋体"/>
          <w:color w:val="auto"/>
          <w:sz w:val="22"/>
          <w:highlight w:val="none"/>
          <w:lang w:eastAsia="zh-CN"/>
        </w:rPr>
        <w:t>.</w:t>
      </w:r>
      <w:r>
        <w:rPr>
          <w:rFonts w:hint="eastAsia" w:ascii="宋体" w:cs="宋体"/>
          <w:color w:val="auto"/>
          <w:sz w:val="22"/>
          <w:highlight w:val="none"/>
        </w:rPr>
        <w:t>负责垃圾中转站管理、太阳能垃圾减量化处理设施管理。</w:t>
      </w:r>
    </w:p>
    <w:p w14:paraId="11D6517C">
      <w:pPr>
        <w:spacing w:line="400" w:lineRule="exact"/>
        <w:ind w:firstLine="446" w:firstLineChars="200"/>
        <w:rPr>
          <w:rFonts w:ascii="宋体" w:eastAsia="宋体"/>
          <w:b w:val="0"/>
          <w:color w:val="auto"/>
          <w:kern w:val="2"/>
          <w:sz w:val="22"/>
          <w:szCs w:val="24"/>
          <w:highlight w:val="none"/>
        </w:rPr>
      </w:pPr>
      <w:r>
        <w:rPr>
          <w:rFonts w:hint="eastAsia" w:ascii="宋体" w:eastAsia="宋体"/>
          <w:b w:val="0"/>
          <w:color w:val="auto"/>
          <w:kern w:val="2"/>
          <w:sz w:val="22"/>
          <w:szCs w:val="24"/>
          <w:highlight w:val="none"/>
          <w:lang w:val="en-US" w:eastAsia="zh-CN"/>
        </w:rPr>
        <w:t>3.</w:t>
      </w:r>
      <w:r>
        <w:rPr>
          <w:rFonts w:hint="eastAsia" w:ascii="宋体" w:eastAsia="宋体"/>
          <w:b w:val="0"/>
          <w:color w:val="auto"/>
          <w:kern w:val="2"/>
          <w:sz w:val="22"/>
          <w:szCs w:val="24"/>
          <w:highlight w:val="none"/>
        </w:rPr>
        <w:t>负责垃圾分类工作所需的设施建设、管理及维护；</w:t>
      </w:r>
    </w:p>
    <w:p w14:paraId="0E86954B">
      <w:pPr>
        <w:pStyle w:val="2"/>
        <w:rPr>
          <w:color w:val="auto"/>
          <w:highlight w:val="none"/>
        </w:rPr>
      </w:pPr>
    </w:p>
    <w:p w14:paraId="6D25C745">
      <w:pPr>
        <w:spacing w:line="400" w:lineRule="exact"/>
        <w:ind w:firstLine="446" w:firstLineChars="200"/>
        <w:rPr>
          <w:rFonts w:hint="eastAsia" w:ascii="宋体" w:hAnsi="宋体"/>
          <w:b/>
          <w:bCs/>
          <w:color w:val="auto"/>
          <w:sz w:val="22"/>
          <w:szCs w:val="22"/>
          <w:highlight w:val="none"/>
        </w:rPr>
      </w:pPr>
      <w:r>
        <w:rPr>
          <w:rFonts w:hint="eastAsia" w:ascii="宋体" w:hAnsi="宋体"/>
          <w:b/>
          <w:bCs/>
          <w:color w:val="auto"/>
          <w:sz w:val="22"/>
          <w:szCs w:val="22"/>
          <w:highlight w:val="none"/>
          <w:lang w:val="en-US" w:eastAsia="zh-CN"/>
        </w:rPr>
        <w:t>4.</w:t>
      </w:r>
      <w:r>
        <w:rPr>
          <w:rFonts w:hint="eastAsia" w:ascii="宋体" w:hAnsi="宋体"/>
          <w:b/>
          <w:bCs/>
          <w:color w:val="auto"/>
          <w:sz w:val="22"/>
          <w:szCs w:val="22"/>
          <w:highlight w:val="none"/>
        </w:rPr>
        <w:t>往年</w:t>
      </w:r>
      <w:r>
        <w:rPr>
          <w:rFonts w:hint="eastAsia" w:ascii="宋体" w:hAnsi="宋体"/>
          <w:b/>
          <w:bCs/>
          <w:color w:val="auto"/>
          <w:sz w:val="22"/>
          <w:szCs w:val="22"/>
          <w:highlight w:val="none"/>
          <w:lang w:eastAsia="zh-CN"/>
        </w:rPr>
        <w:t>包垟乡</w:t>
      </w:r>
      <w:r>
        <w:rPr>
          <w:rFonts w:hint="eastAsia" w:ascii="宋体" w:hAnsi="宋体"/>
          <w:b/>
          <w:bCs/>
          <w:color w:val="auto"/>
          <w:sz w:val="22"/>
          <w:szCs w:val="22"/>
          <w:highlight w:val="none"/>
        </w:rPr>
        <w:t>辖区总的日常垃圾清运数量约</w:t>
      </w:r>
      <w:r>
        <w:rPr>
          <w:rFonts w:hint="eastAsia" w:ascii="宋体" w:hAnsi="宋体"/>
          <w:b/>
          <w:bCs/>
          <w:color w:val="auto"/>
          <w:sz w:val="22"/>
          <w:szCs w:val="22"/>
          <w:highlight w:val="none"/>
          <w:u w:val="single"/>
          <w:lang w:val="en-US" w:eastAsia="zh-CN"/>
        </w:rPr>
        <w:t>1</w:t>
      </w:r>
      <w:r>
        <w:rPr>
          <w:rFonts w:hint="eastAsia" w:ascii="宋体" w:hAnsi="宋体"/>
          <w:b/>
          <w:bCs/>
          <w:color w:val="auto"/>
          <w:sz w:val="22"/>
          <w:szCs w:val="22"/>
          <w:highlight w:val="none"/>
        </w:rPr>
        <w:t>吨，春节期间</w:t>
      </w:r>
      <w:r>
        <w:rPr>
          <w:rFonts w:hint="eastAsia" w:ascii="宋体" w:hAnsi="宋体"/>
          <w:b/>
          <w:bCs/>
          <w:color w:val="auto"/>
          <w:sz w:val="22"/>
          <w:szCs w:val="22"/>
          <w:highlight w:val="none"/>
          <w:u w:val="single"/>
        </w:rPr>
        <w:t xml:space="preserve"> </w:t>
      </w:r>
      <w:r>
        <w:rPr>
          <w:rFonts w:ascii="宋体" w:hAnsi="宋体"/>
          <w:b/>
          <w:bCs/>
          <w:color w:val="auto"/>
          <w:sz w:val="22"/>
          <w:szCs w:val="22"/>
          <w:highlight w:val="none"/>
          <w:u w:val="single"/>
        </w:rPr>
        <w:t>2</w:t>
      </w:r>
      <w:r>
        <w:rPr>
          <w:rFonts w:hint="eastAsia" w:ascii="宋体" w:hAnsi="宋体"/>
          <w:b/>
          <w:bCs/>
          <w:color w:val="auto"/>
          <w:sz w:val="22"/>
          <w:szCs w:val="22"/>
          <w:highlight w:val="none"/>
        </w:rPr>
        <w:t>吨（参考）。</w:t>
      </w:r>
    </w:p>
    <w:p w14:paraId="4DEE1E63">
      <w:pPr>
        <w:ind w:left="1373" w:hanging="1338" w:hangingChars="600"/>
        <w:jc w:val="center"/>
        <w:rPr>
          <w:rFonts w:hint="eastAsia" w:ascii="宋体" w:hAnsi="宋体"/>
          <w:b/>
          <w:bCs/>
          <w:color w:val="auto"/>
          <w:sz w:val="22"/>
          <w:szCs w:val="22"/>
          <w:highlight w:val="none"/>
        </w:rPr>
      </w:pPr>
    </w:p>
    <w:p w14:paraId="4C487E32">
      <w:pPr>
        <w:ind w:left="1373" w:hanging="1338" w:hangingChars="600"/>
        <w:jc w:val="center"/>
        <w:rPr>
          <w:rFonts w:hint="eastAsia" w:ascii="宋体" w:hAnsi="宋体"/>
          <w:b/>
          <w:bCs/>
          <w:color w:val="auto"/>
          <w:sz w:val="22"/>
          <w:szCs w:val="22"/>
          <w:highlight w:val="none"/>
        </w:rPr>
      </w:pPr>
    </w:p>
    <w:p w14:paraId="1B96DD50">
      <w:pPr>
        <w:ind w:left="1733" w:hanging="1698" w:hangingChars="600"/>
        <w:jc w:val="center"/>
        <w:rPr>
          <w:rFonts w:hint="eastAsia" w:ascii="宋体" w:hAnsi="宋体"/>
          <w:b/>
          <w:bCs/>
          <w:color w:val="auto"/>
          <w:sz w:val="28"/>
          <w:szCs w:val="28"/>
          <w:highlight w:val="none"/>
          <w:lang w:eastAsia="zh-CN"/>
        </w:rPr>
      </w:pPr>
    </w:p>
    <w:p w14:paraId="073F6D3F">
      <w:pPr>
        <w:ind w:left="1733" w:hanging="1698" w:hangingChars="600"/>
        <w:jc w:val="center"/>
        <w:rPr>
          <w:rFonts w:hint="eastAsia" w:ascii="宋体" w:hAnsi="宋体"/>
          <w:b/>
          <w:bCs/>
          <w:color w:val="auto"/>
          <w:sz w:val="28"/>
          <w:szCs w:val="28"/>
          <w:highlight w:val="none"/>
          <w:lang w:eastAsia="zh-CN"/>
        </w:rPr>
      </w:pPr>
      <w:r>
        <w:rPr>
          <w:rFonts w:hint="eastAsia" w:ascii="宋体" w:hAnsi="宋体"/>
          <w:b/>
          <w:bCs/>
          <w:color w:val="auto"/>
          <w:sz w:val="28"/>
          <w:szCs w:val="28"/>
          <w:highlight w:val="none"/>
          <w:lang w:eastAsia="zh-CN"/>
        </w:rPr>
        <w:t>泰顺县包垟乡生活垃圾保洁工作量一览表(202</w:t>
      </w:r>
      <w:r>
        <w:rPr>
          <w:rFonts w:hint="eastAsia" w:ascii="宋体" w:hAnsi="宋体"/>
          <w:b/>
          <w:bCs/>
          <w:color w:val="auto"/>
          <w:sz w:val="28"/>
          <w:szCs w:val="28"/>
          <w:highlight w:val="none"/>
          <w:lang w:val="en-US" w:eastAsia="zh-CN"/>
        </w:rPr>
        <w:t>5</w:t>
      </w:r>
      <w:r>
        <w:rPr>
          <w:rFonts w:hint="eastAsia" w:ascii="宋体" w:hAnsi="宋体"/>
          <w:b/>
          <w:bCs/>
          <w:color w:val="auto"/>
          <w:sz w:val="28"/>
          <w:szCs w:val="28"/>
          <w:highlight w:val="none"/>
          <w:lang w:eastAsia="zh-CN"/>
        </w:rPr>
        <w:t>年参考)</w:t>
      </w:r>
    </w:p>
    <w:tbl>
      <w:tblPr>
        <w:tblStyle w:val="26"/>
        <w:tblW w:w="9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386"/>
        <w:gridCol w:w="716"/>
        <w:gridCol w:w="313"/>
        <w:gridCol w:w="755"/>
        <w:gridCol w:w="1034"/>
        <w:gridCol w:w="1111"/>
        <w:gridCol w:w="1343"/>
        <w:gridCol w:w="856"/>
        <w:gridCol w:w="1503"/>
      </w:tblGrid>
      <w:tr w14:paraId="2CDA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03" w:type="dxa"/>
            <w:gridSpan w:val="10"/>
            <w:tcBorders>
              <w:top w:val="single" w:color="auto" w:sz="4" w:space="0"/>
              <w:left w:val="single" w:color="auto" w:sz="4" w:space="0"/>
              <w:bottom w:val="single" w:color="auto" w:sz="4" w:space="0"/>
              <w:right w:val="single" w:color="auto" w:sz="4" w:space="0"/>
            </w:tcBorders>
            <w:noWrap w:val="0"/>
            <w:vAlign w:val="center"/>
          </w:tcPr>
          <w:p w14:paraId="73DBC9B8">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常规保洁</w:t>
            </w:r>
          </w:p>
        </w:tc>
      </w:tr>
      <w:tr w14:paraId="485C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44420FCB">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序号</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5085E13">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行政村</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3D221710">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户籍人口</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5FEBCE1C">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每日普扫</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7455A2A">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每日洒</w:t>
            </w:r>
          </w:p>
          <w:p w14:paraId="7B4F3961">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水次数</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1D2F7783">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每日清</w:t>
            </w:r>
          </w:p>
          <w:p w14:paraId="79755CAF">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运次数</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6F7E525">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公厕每日</w:t>
            </w:r>
          </w:p>
          <w:p w14:paraId="6B08A8E4">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保洁次数</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2C1D305A">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每日巡回保洁次数</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5B01E6E6">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保洁面积</w:t>
            </w:r>
          </w:p>
          <w:p w14:paraId="0166B074">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（平方米）</w:t>
            </w:r>
          </w:p>
        </w:tc>
      </w:tr>
      <w:tr w14:paraId="04ED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56B84D8D">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01E5953">
            <w:pPr>
              <w:jc w:val="center"/>
              <w:textAlignment w:val="baseline"/>
              <w:rPr>
                <w:rFonts w:ascii="宋体" w:eastAsia="宋体" w:cs="宋体"/>
                <w:b w:val="0"/>
                <w:color w:val="auto"/>
                <w:kern w:val="2"/>
                <w:sz w:val="22"/>
                <w:szCs w:val="22"/>
                <w:highlight w:val="none"/>
              </w:rPr>
            </w:pPr>
            <w:r>
              <w:rPr>
                <w:rFonts w:hint="eastAsia" w:ascii="宋体" w:hAnsi="Times New Roman" w:eastAsia="宋体"/>
                <w:b w:val="0"/>
                <w:color w:val="auto"/>
                <w:kern w:val="2"/>
                <w:sz w:val="22"/>
                <w:szCs w:val="22"/>
                <w:highlight w:val="none"/>
              </w:rPr>
              <w:t>包垟店</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0072D5FA">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1378人</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F4CA725">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3次</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59E2C83">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4BA697C1">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0A7FC41">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定人定岗</w:t>
            </w:r>
          </w:p>
          <w:p w14:paraId="20771A39">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至少2次</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5DA080EB">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2-3次</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4E835E5E">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77000</w:t>
            </w:r>
          </w:p>
        </w:tc>
      </w:tr>
      <w:tr w14:paraId="16D0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12113973">
            <w:pPr>
              <w:jc w:val="center"/>
              <w:textAlignment w:val="top"/>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9E99D03">
            <w:pPr>
              <w:jc w:val="center"/>
              <w:textAlignment w:val="baseline"/>
              <w:rPr>
                <w:rFonts w:ascii="宋体" w:eastAsia="宋体" w:cs="宋体"/>
                <w:b w:val="0"/>
                <w:color w:val="auto"/>
                <w:kern w:val="2"/>
                <w:sz w:val="22"/>
                <w:szCs w:val="22"/>
                <w:highlight w:val="none"/>
              </w:rPr>
            </w:pPr>
            <w:r>
              <w:rPr>
                <w:rFonts w:hint="eastAsia" w:ascii="宋体" w:hAnsi="Times New Roman" w:eastAsia="宋体"/>
                <w:b w:val="0"/>
                <w:color w:val="auto"/>
                <w:kern w:val="2"/>
                <w:sz w:val="22"/>
                <w:szCs w:val="22"/>
                <w:highlight w:val="none"/>
              </w:rPr>
              <w:t>包垟底</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76E5CA1A">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768人</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2DD31C5">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3次</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1416968">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6BACFD00">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1E15B3B">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定人定岗</w:t>
            </w:r>
          </w:p>
          <w:p w14:paraId="4C20F90B">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至少2次</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4A21FC67">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2-3次</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170BD6C">
            <w:pPr>
              <w:widowControl/>
              <w:jc w:val="center"/>
              <w:textAlignment w:val="center"/>
              <w:rPr>
                <w:rFonts w:ascii="宋体" w:eastAsia="宋体" w:cs="宋体"/>
                <w:b w:val="0"/>
                <w:color w:val="auto"/>
                <w:kern w:val="2"/>
                <w:sz w:val="24"/>
                <w:szCs w:val="24"/>
                <w:highlight w:val="none"/>
              </w:rPr>
            </w:pPr>
            <w:r>
              <w:rPr>
                <w:rFonts w:hint="eastAsia" w:ascii="宋体" w:eastAsia="宋体" w:cs="宋体"/>
                <w:b w:val="0"/>
                <w:color w:val="auto"/>
                <w:sz w:val="24"/>
                <w:szCs w:val="24"/>
                <w:highlight w:val="none"/>
                <w:lang w:bidi="ar"/>
              </w:rPr>
              <w:t>53000</w:t>
            </w:r>
          </w:p>
        </w:tc>
      </w:tr>
      <w:tr w14:paraId="6FFA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569EC3B7">
            <w:pPr>
              <w:jc w:val="center"/>
              <w:textAlignment w:val="top"/>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3</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8704323">
            <w:pPr>
              <w:jc w:val="center"/>
              <w:textAlignment w:val="baseline"/>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新塘垟</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321DD642">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1500人</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5151BEEC">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3次</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3794B0F">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65F24CB6">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40A1A6F">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定人定岗</w:t>
            </w:r>
          </w:p>
          <w:p w14:paraId="196C68E2">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至少2次</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00654D0F">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2-3次</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742E0F4A">
            <w:pPr>
              <w:widowControl/>
              <w:jc w:val="center"/>
              <w:textAlignment w:val="center"/>
              <w:rPr>
                <w:rFonts w:ascii="宋体" w:eastAsia="宋体" w:cs="宋体"/>
                <w:b w:val="0"/>
                <w:color w:val="auto"/>
                <w:sz w:val="24"/>
                <w:szCs w:val="24"/>
                <w:highlight w:val="none"/>
                <w:lang w:bidi="ar"/>
              </w:rPr>
            </w:pPr>
            <w:r>
              <w:rPr>
                <w:rFonts w:hint="eastAsia" w:ascii="宋体" w:eastAsia="宋体" w:cs="宋体"/>
                <w:b w:val="0"/>
                <w:color w:val="auto"/>
                <w:sz w:val="24"/>
                <w:szCs w:val="24"/>
                <w:highlight w:val="none"/>
                <w:lang w:bidi="ar"/>
              </w:rPr>
              <w:t>153800</w:t>
            </w:r>
          </w:p>
        </w:tc>
      </w:tr>
      <w:tr w14:paraId="63D7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1B002B46">
            <w:pPr>
              <w:jc w:val="center"/>
              <w:textAlignment w:val="top"/>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4</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32EBE08">
            <w:pPr>
              <w:jc w:val="center"/>
              <w:textAlignment w:val="baseline"/>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林岙</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6776CAC8">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1099人</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2E11830">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3E2E9C8">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1次</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7ADCE482">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769E8D3">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定人定岗</w:t>
            </w:r>
          </w:p>
          <w:p w14:paraId="737DF297">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至少2次</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73EFB27E">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2-3次</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428C6080">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57000</w:t>
            </w:r>
          </w:p>
        </w:tc>
      </w:tr>
      <w:tr w14:paraId="7250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481E11F2">
            <w:pPr>
              <w:jc w:val="center"/>
              <w:textAlignment w:val="top"/>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5</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3D929D5">
            <w:pPr>
              <w:jc w:val="center"/>
              <w:textAlignment w:val="baseline"/>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横溪</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777E5843">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824人</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BA49F63">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4614F29">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1次</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D83F705">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92D5636">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定人定岗</w:t>
            </w:r>
          </w:p>
          <w:p w14:paraId="46D8C3FE">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至少2次</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4FB5DA22">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2-3次</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0D3B9D7D">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72000</w:t>
            </w:r>
          </w:p>
        </w:tc>
      </w:tr>
      <w:tr w14:paraId="187F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209E9EEF">
            <w:pPr>
              <w:jc w:val="center"/>
              <w:textAlignment w:val="top"/>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6</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DFAF0AF">
            <w:pPr>
              <w:jc w:val="center"/>
              <w:textAlignment w:val="baseline"/>
              <w:rPr>
                <w:rFonts w:ascii="宋体" w:eastAsia="宋体" w:cs="宋体"/>
                <w:b w:val="0"/>
                <w:color w:val="auto"/>
                <w:kern w:val="2"/>
                <w:sz w:val="22"/>
                <w:szCs w:val="22"/>
                <w:highlight w:val="none"/>
              </w:rPr>
            </w:pPr>
            <w:r>
              <w:rPr>
                <w:rFonts w:hint="eastAsia" w:ascii="宋体" w:hAnsi="Times New Roman" w:eastAsia="宋体"/>
                <w:b w:val="0"/>
                <w:color w:val="auto"/>
                <w:kern w:val="2"/>
                <w:sz w:val="22"/>
                <w:szCs w:val="22"/>
                <w:highlight w:val="none"/>
              </w:rPr>
              <w:t>岩上</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733F3F3C">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801人</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D34DD86">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F9526B1">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1次</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B5B804B">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F120816">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定人定岗</w:t>
            </w:r>
          </w:p>
          <w:p w14:paraId="138EF70E">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至少2次</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2C47D446">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2-3次</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CAB1607">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60500</w:t>
            </w:r>
          </w:p>
        </w:tc>
      </w:tr>
      <w:tr w14:paraId="126D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26E35036">
            <w:pPr>
              <w:jc w:val="center"/>
              <w:textAlignment w:val="top"/>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7</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9A5203A">
            <w:pPr>
              <w:jc w:val="center"/>
              <w:textAlignment w:val="baseline"/>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卓南坑</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23145953">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759人</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7CC4450">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B0C58EC">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1次</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5B56ECFC">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4A0025B">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定人定岗</w:t>
            </w:r>
          </w:p>
          <w:p w14:paraId="64CF4B39">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至少2次</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63E6239D">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2-3次</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08AA81F8">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50800</w:t>
            </w:r>
          </w:p>
        </w:tc>
      </w:tr>
      <w:tr w14:paraId="6E51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280C4303">
            <w:pPr>
              <w:jc w:val="center"/>
              <w:textAlignment w:val="top"/>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8</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CEF0CB1">
            <w:pPr>
              <w:jc w:val="center"/>
              <w:textAlignment w:val="baseline"/>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云湖谷</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14:paraId="5C8F41C0">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1009</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9D29C22">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4DDE9DA">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1次</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F9A3FFD">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58AD028">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定人定岗</w:t>
            </w:r>
          </w:p>
          <w:p w14:paraId="450A5338">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至少2次</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765B9A75">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2-3次</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043E773A">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48000</w:t>
            </w:r>
          </w:p>
        </w:tc>
      </w:tr>
      <w:tr w14:paraId="75C0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03" w:type="dxa"/>
            <w:gridSpan w:val="10"/>
            <w:tcBorders>
              <w:top w:val="single" w:color="auto" w:sz="4" w:space="0"/>
              <w:left w:val="single" w:color="auto" w:sz="4" w:space="0"/>
              <w:bottom w:val="single" w:color="auto" w:sz="4" w:space="0"/>
              <w:right w:val="single" w:color="auto" w:sz="4" w:space="0"/>
            </w:tcBorders>
            <w:noWrap w:val="0"/>
            <w:vAlign w:val="center"/>
          </w:tcPr>
          <w:p w14:paraId="14096774">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河道保洁</w:t>
            </w:r>
          </w:p>
        </w:tc>
      </w:tr>
      <w:tr w14:paraId="63C1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13A52B75">
            <w:pPr>
              <w:widowControl/>
              <w:spacing w:beforeAutospacing="1" w:afterAutospacing="1"/>
              <w:jc w:val="left"/>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序号</w:t>
            </w:r>
          </w:p>
        </w:tc>
        <w:tc>
          <w:tcPr>
            <w:tcW w:w="2102" w:type="dxa"/>
            <w:gridSpan w:val="2"/>
            <w:tcBorders>
              <w:top w:val="single" w:color="auto" w:sz="4" w:space="0"/>
              <w:left w:val="single" w:color="auto" w:sz="4" w:space="0"/>
              <w:bottom w:val="single" w:color="auto" w:sz="4" w:space="0"/>
              <w:right w:val="single" w:color="auto" w:sz="4" w:space="0"/>
            </w:tcBorders>
            <w:noWrap w:val="0"/>
            <w:vAlign w:val="center"/>
          </w:tcPr>
          <w:p w14:paraId="747259E9">
            <w:pPr>
              <w:widowControl/>
              <w:spacing w:beforeAutospacing="1" w:afterAutospacing="1"/>
              <w:jc w:val="center"/>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地点</w:t>
            </w:r>
          </w:p>
        </w:tc>
        <w:tc>
          <w:tcPr>
            <w:tcW w:w="2102" w:type="dxa"/>
            <w:gridSpan w:val="3"/>
            <w:tcBorders>
              <w:top w:val="single" w:color="auto" w:sz="4" w:space="0"/>
              <w:left w:val="single" w:color="auto" w:sz="4" w:space="0"/>
              <w:bottom w:val="single" w:color="auto" w:sz="4" w:space="0"/>
              <w:right w:val="single" w:color="auto" w:sz="4" w:space="0"/>
            </w:tcBorders>
            <w:noWrap w:val="0"/>
            <w:vAlign w:val="center"/>
          </w:tcPr>
          <w:p w14:paraId="207DFBC6">
            <w:pPr>
              <w:widowControl/>
              <w:spacing w:beforeAutospacing="1" w:afterAutospacing="1"/>
              <w:jc w:val="center"/>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数量</w:t>
            </w:r>
          </w:p>
        </w:tc>
        <w:tc>
          <w:tcPr>
            <w:tcW w:w="3310" w:type="dxa"/>
            <w:gridSpan w:val="3"/>
            <w:tcBorders>
              <w:top w:val="single" w:color="auto" w:sz="4" w:space="0"/>
              <w:left w:val="single" w:color="auto" w:sz="4" w:space="0"/>
              <w:bottom w:val="single" w:color="auto" w:sz="4" w:space="0"/>
              <w:right w:val="single" w:color="auto" w:sz="4" w:space="0"/>
            </w:tcBorders>
            <w:noWrap w:val="0"/>
            <w:vAlign w:val="center"/>
          </w:tcPr>
          <w:p w14:paraId="202D4CFB">
            <w:pPr>
              <w:widowControl/>
              <w:spacing w:beforeAutospacing="1" w:afterAutospacing="1"/>
              <w:jc w:val="center"/>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里程</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4012A6B3">
            <w:pPr>
              <w:widowControl/>
              <w:spacing w:beforeAutospacing="1" w:afterAutospacing="1"/>
              <w:jc w:val="left"/>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清理次数</w:t>
            </w:r>
          </w:p>
        </w:tc>
      </w:tr>
      <w:tr w14:paraId="35EF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50BBAEF9">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w:t>
            </w:r>
          </w:p>
        </w:tc>
        <w:tc>
          <w:tcPr>
            <w:tcW w:w="2102" w:type="dxa"/>
            <w:gridSpan w:val="2"/>
            <w:tcBorders>
              <w:top w:val="single" w:color="auto" w:sz="4" w:space="0"/>
              <w:left w:val="single" w:color="auto" w:sz="4" w:space="0"/>
              <w:bottom w:val="single" w:color="auto" w:sz="4" w:space="0"/>
              <w:right w:val="single" w:color="auto" w:sz="4" w:space="0"/>
            </w:tcBorders>
            <w:noWrap w:val="0"/>
            <w:vAlign w:val="center"/>
          </w:tcPr>
          <w:p w14:paraId="188F692F">
            <w:pPr>
              <w:jc w:val="center"/>
              <w:textAlignment w:val="baseline"/>
              <w:rPr>
                <w:rFonts w:ascii="宋体" w:eastAsia="宋体" w:cs="宋体"/>
                <w:b w:val="0"/>
                <w:color w:val="auto"/>
                <w:kern w:val="2"/>
                <w:sz w:val="22"/>
                <w:szCs w:val="22"/>
                <w:highlight w:val="none"/>
              </w:rPr>
            </w:pPr>
            <w:r>
              <w:rPr>
                <w:rFonts w:hint="eastAsia" w:ascii="宋体" w:hAnsi="Times New Roman" w:eastAsia="宋体"/>
                <w:b w:val="0"/>
                <w:color w:val="auto"/>
                <w:kern w:val="2"/>
                <w:sz w:val="22"/>
                <w:szCs w:val="22"/>
                <w:highlight w:val="none"/>
              </w:rPr>
              <w:t>包垟店</w:t>
            </w:r>
          </w:p>
        </w:tc>
        <w:tc>
          <w:tcPr>
            <w:tcW w:w="2102" w:type="dxa"/>
            <w:gridSpan w:val="3"/>
            <w:tcBorders>
              <w:top w:val="single" w:color="auto" w:sz="4" w:space="0"/>
              <w:left w:val="single" w:color="auto" w:sz="4" w:space="0"/>
              <w:bottom w:val="single" w:color="auto" w:sz="4" w:space="0"/>
              <w:right w:val="single" w:color="auto" w:sz="4" w:space="0"/>
            </w:tcBorders>
            <w:noWrap w:val="0"/>
            <w:vAlign w:val="center"/>
          </w:tcPr>
          <w:p w14:paraId="529978C1">
            <w:pPr>
              <w:widowControl/>
              <w:spacing w:beforeAutospacing="1" w:afterAutospacing="1"/>
              <w:jc w:val="center"/>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1条</w:t>
            </w:r>
          </w:p>
        </w:tc>
        <w:tc>
          <w:tcPr>
            <w:tcW w:w="3310" w:type="dxa"/>
            <w:gridSpan w:val="3"/>
            <w:tcBorders>
              <w:top w:val="single" w:color="auto" w:sz="4" w:space="0"/>
              <w:left w:val="single" w:color="auto" w:sz="4" w:space="0"/>
              <w:bottom w:val="single" w:color="auto" w:sz="4" w:space="0"/>
              <w:right w:val="single" w:color="auto" w:sz="4" w:space="0"/>
            </w:tcBorders>
            <w:noWrap w:val="0"/>
            <w:vAlign w:val="center"/>
          </w:tcPr>
          <w:p w14:paraId="411B8A79">
            <w:pPr>
              <w:widowControl/>
              <w:spacing w:beforeAutospacing="1" w:afterAutospacing="1"/>
              <w:jc w:val="center"/>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500米</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87EBE91">
            <w:pPr>
              <w:widowControl/>
              <w:spacing w:beforeAutospacing="1" w:afterAutospacing="1"/>
              <w:jc w:val="left"/>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每日2清</w:t>
            </w:r>
          </w:p>
        </w:tc>
      </w:tr>
      <w:tr w14:paraId="3D70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277FC6C2">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w:t>
            </w:r>
          </w:p>
        </w:tc>
        <w:tc>
          <w:tcPr>
            <w:tcW w:w="2102" w:type="dxa"/>
            <w:gridSpan w:val="2"/>
            <w:tcBorders>
              <w:top w:val="single" w:color="auto" w:sz="4" w:space="0"/>
              <w:left w:val="single" w:color="auto" w:sz="4" w:space="0"/>
              <w:bottom w:val="single" w:color="auto" w:sz="4" w:space="0"/>
              <w:right w:val="single" w:color="auto" w:sz="4" w:space="0"/>
            </w:tcBorders>
            <w:noWrap w:val="0"/>
            <w:vAlign w:val="center"/>
          </w:tcPr>
          <w:p w14:paraId="2EFBBFCA">
            <w:pPr>
              <w:jc w:val="center"/>
              <w:textAlignment w:val="baseline"/>
              <w:rPr>
                <w:rFonts w:ascii="宋体" w:eastAsia="宋体" w:cs="宋体"/>
                <w:b w:val="0"/>
                <w:color w:val="auto"/>
                <w:kern w:val="2"/>
                <w:sz w:val="22"/>
                <w:szCs w:val="22"/>
                <w:highlight w:val="none"/>
              </w:rPr>
            </w:pPr>
            <w:r>
              <w:rPr>
                <w:rFonts w:hint="eastAsia" w:ascii="宋体" w:hAnsi="Times New Roman" w:eastAsia="宋体"/>
                <w:b w:val="0"/>
                <w:color w:val="auto"/>
                <w:kern w:val="2"/>
                <w:sz w:val="22"/>
                <w:szCs w:val="22"/>
                <w:highlight w:val="none"/>
              </w:rPr>
              <w:t>包垟底</w:t>
            </w:r>
          </w:p>
        </w:tc>
        <w:tc>
          <w:tcPr>
            <w:tcW w:w="2102" w:type="dxa"/>
            <w:gridSpan w:val="3"/>
            <w:tcBorders>
              <w:top w:val="single" w:color="auto" w:sz="4" w:space="0"/>
              <w:left w:val="single" w:color="auto" w:sz="4" w:space="0"/>
              <w:bottom w:val="single" w:color="auto" w:sz="4" w:space="0"/>
              <w:right w:val="single" w:color="auto" w:sz="4" w:space="0"/>
            </w:tcBorders>
            <w:noWrap w:val="0"/>
            <w:vAlign w:val="center"/>
          </w:tcPr>
          <w:p w14:paraId="75523156">
            <w:pPr>
              <w:widowControl/>
              <w:spacing w:beforeAutospacing="1" w:afterAutospacing="1"/>
              <w:jc w:val="center"/>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2条</w:t>
            </w:r>
          </w:p>
        </w:tc>
        <w:tc>
          <w:tcPr>
            <w:tcW w:w="3310" w:type="dxa"/>
            <w:gridSpan w:val="3"/>
            <w:tcBorders>
              <w:top w:val="single" w:color="auto" w:sz="4" w:space="0"/>
              <w:left w:val="single" w:color="auto" w:sz="4" w:space="0"/>
              <w:bottom w:val="single" w:color="auto" w:sz="4" w:space="0"/>
              <w:right w:val="single" w:color="auto" w:sz="4" w:space="0"/>
            </w:tcBorders>
            <w:noWrap w:val="0"/>
            <w:vAlign w:val="center"/>
          </w:tcPr>
          <w:p w14:paraId="0A65E20E">
            <w:pPr>
              <w:widowControl/>
              <w:spacing w:beforeAutospacing="1" w:afterAutospacing="1"/>
              <w:jc w:val="center"/>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3000米</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44A1809E">
            <w:pPr>
              <w:widowControl/>
              <w:spacing w:beforeAutospacing="1" w:afterAutospacing="1"/>
              <w:jc w:val="left"/>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每日2清</w:t>
            </w:r>
          </w:p>
        </w:tc>
      </w:tr>
      <w:tr w14:paraId="1E71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2AB76B09">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3</w:t>
            </w:r>
          </w:p>
        </w:tc>
        <w:tc>
          <w:tcPr>
            <w:tcW w:w="2102" w:type="dxa"/>
            <w:gridSpan w:val="2"/>
            <w:tcBorders>
              <w:top w:val="single" w:color="auto" w:sz="4" w:space="0"/>
              <w:left w:val="single" w:color="auto" w:sz="4" w:space="0"/>
              <w:bottom w:val="single" w:color="auto" w:sz="4" w:space="0"/>
              <w:right w:val="single" w:color="auto" w:sz="4" w:space="0"/>
            </w:tcBorders>
            <w:noWrap w:val="0"/>
            <w:vAlign w:val="center"/>
          </w:tcPr>
          <w:p w14:paraId="54957210">
            <w:pPr>
              <w:jc w:val="center"/>
              <w:textAlignment w:val="baseline"/>
              <w:rPr>
                <w:rFonts w:hint="eastAsia"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新塘垟</w:t>
            </w:r>
          </w:p>
        </w:tc>
        <w:tc>
          <w:tcPr>
            <w:tcW w:w="2102" w:type="dxa"/>
            <w:gridSpan w:val="3"/>
            <w:tcBorders>
              <w:top w:val="single" w:color="auto" w:sz="4" w:space="0"/>
              <w:left w:val="single" w:color="auto" w:sz="4" w:space="0"/>
              <w:bottom w:val="single" w:color="auto" w:sz="4" w:space="0"/>
              <w:right w:val="single" w:color="auto" w:sz="4" w:space="0"/>
            </w:tcBorders>
            <w:noWrap w:val="0"/>
            <w:vAlign w:val="center"/>
          </w:tcPr>
          <w:p w14:paraId="7F5C1BEC">
            <w:pPr>
              <w:widowControl/>
              <w:spacing w:beforeAutospacing="1" w:afterAutospacing="1"/>
              <w:jc w:val="center"/>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2条</w:t>
            </w:r>
          </w:p>
        </w:tc>
        <w:tc>
          <w:tcPr>
            <w:tcW w:w="3310" w:type="dxa"/>
            <w:gridSpan w:val="3"/>
            <w:tcBorders>
              <w:top w:val="single" w:color="auto" w:sz="4" w:space="0"/>
              <w:left w:val="single" w:color="auto" w:sz="4" w:space="0"/>
              <w:bottom w:val="single" w:color="auto" w:sz="4" w:space="0"/>
              <w:right w:val="single" w:color="auto" w:sz="4" w:space="0"/>
            </w:tcBorders>
            <w:noWrap w:val="0"/>
            <w:vAlign w:val="center"/>
          </w:tcPr>
          <w:p w14:paraId="4AC74477">
            <w:pPr>
              <w:widowControl/>
              <w:spacing w:beforeAutospacing="1" w:afterAutospacing="1"/>
              <w:jc w:val="center"/>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4000米</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0AD46C52">
            <w:pPr>
              <w:widowControl/>
              <w:spacing w:beforeAutospacing="1" w:afterAutospacing="1"/>
              <w:jc w:val="left"/>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每日2清</w:t>
            </w:r>
          </w:p>
        </w:tc>
      </w:tr>
      <w:tr w14:paraId="2EF0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74CA7686">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4</w:t>
            </w:r>
          </w:p>
        </w:tc>
        <w:tc>
          <w:tcPr>
            <w:tcW w:w="2102" w:type="dxa"/>
            <w:gridSpan w:val="2"/>
            <w:tcBorders>
              <w:top w:val="single" w:color="auto" w:sz="4" w:space="0"/>
              <w:left w:val="single" w:color="auto" w:sz="4" w:space="0"/>
              <w:bottom w:val="single" w:color="auto" w:sz="4" w:space="0"/>
              <w:right w:val="single" w:color="auto" w:sz="4" w:space="0"/>
            </w:tcBorders>
            <w:noWrap w:val="0"/>
            <w:vAlign w:val="center"/>
          </w:tcPr>
          <w:p w14:paraId="03EDC13D">
            <w:pPr>
              <w:jc w:val="center"/>
              <w:textAlignment w:val="baseline"/>
              <w:rPr>
                <w:rFonts w:hint="eastAsia"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林岙</w:t>
            </w:r>
          </w:p>
        </w:tc>
        <w:tc>
          <w:tcPr>
            <w:tcW w:w="2102" w:type="dxa"/>
            <w:gridSpan w:val="3"/>
            <w:tcBorders>
              <w:top w:val="single" w:color="auto" w:sz="4" w:space="0"/>
              <w:left w:val="single" w:color="auto" w:sz="4" w:space="0"/>
              <w:bottom w:val="single" w:color="auto" w:sz="4" w:space="0"/>
              <w:right w:val="single" w:color="auto" w:sz="4" w:space="0"/>
            </w:tcBorders>
            <w:noWrap w:val="0"/>
            <w:vAlign w:val="center"/>
          </w:tcPr>
          <w:p w14:paraId="1D6866CB">
            <w:pPr>
              <w:widowControl/>
              <w:spacing w:beforeAutospacing="1" w:afterAutospacing="1"/>
              <w:jc w:val="center"/>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2条</w:t>
            </w:r>
          </w:p>
        </w:tc>
        <w:tc>
          <w:tcPr>
            <w:tcW w:w="3310" w:type="dxa"/>
            <w:gridSpan w:val="3"/>
            <w:tcBorders>
              <w:top w:val="single" w:color="auto" w:sz="4" w:space="0"/>
              <w:left w:val="single" w:color="auto" w:sz="4" w:space="0"/>
              <w:bottom w:val="single" w:color="auto" w:sz="4" w:space="0"/>
              <w:right w:val="single" w:color="auto" w:sz="4" w:space="0"/>
            </w:tcBorders>
            <w:noWrap w:val="0"/>
            <w:vAlign w:val="center"/>
          </w:tcPr>
          <w:p w14:paraId="7E18D47E">
            <w:pPr>
              <w:widowControl/>
              <w:spacing w:beforeAutospacing="1" w:afterAutospacing="1"/>
              <w:jc w:val="center"/>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3000米</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4965438E">
            <w:pPr>
              <w:widowControl/>
              <w:spacing w:beforeAutospacing="1" w:afterAutospacing="1"/>
              <w:jc w:val="left"/>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每日2清</w:t>
            </w:r>
          </w:p>
        </w:tc>
      </w:tr>
      <w:tr w14:paraId="24EE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3022A74D">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5</w:t>
            </w:r>
          </w:p>
        </w:tc>
        <w:tc>
          <w:tcPr>
            <w:tcW w:w="2102" w:type="dxa"/>
            <w:gridSpan w:val="2"/>
            <w:tcBorders>
              <w:top w:val="single" w:color="auto" w:sz="4" w:space="0"/>
              <w:left w:val="single" w:color="auto" w:sz="4" w:space="0"/>
              <w:bottom w:val="single" w:color="auto" w:sz="4" w:space="0"/>
              <w:right w:val="single" w:color="auto" w:sz="4" w:space="0"/>
            </w:tcBorders>
            <w:noWrap w:val="0"/>
            <w:vAlign w:val="center"/>
          </w:tcPr>
          <w:p w14:paraId="2C048290">
            <w:pPr>
              <w:jc w:val="center"/>
              <w:textAlignment w:val="baseline"/>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横溪村</w:t>
            </w:r>
          </w:p>
        </w:tc>
        <w:tc>
          <w:tcPr>
            <w:tcW w:w="2102" w:type="dxa"/>
            <w:gridSpan w:val="3"/>
            <w:tcBorders>
              <w:top w:val="single" w:color="auto" w:sz="4" w:space="0"/>
              <w:left w:val="single" w:color="auto" w:sz="4" w:space="0"/>
              <w:bottom w:val="single" w:color="auto" w:sz="4" w:space="0"/>
              <w:right w:val="single" w:color="auto" w:sz="4" w:space="0"/>
            </w:tcBorders>
            <w:noWrap w:val="0"/>
            <w:vAlign w:val="center"/>
          </w:tcPr>
          <w:p w14:paraId="36BDEE75">
            <w:pPr>
              <w:widowControl/>
              <w:spacing w:beforeAutospacing="1" w:afterAutospacing="1"/>
              <w:jc w:val="center"/>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1条</w:t>
            </w:r>
          </w:p>
        </w:tc>
        <w:tc>
          <w:tcPr>
            <w:tcW w:w="3310" w:type="dxa"/>
            <w:gridSpan w:val="3"/>
            <w:tcBorders>
              <w:top w:val="single" w:color="auto" w:sz="4" w:space="0"/>
              <w:left w:val="single" w:color="auto" w:sz="4" w:space="0"/>
              <w:bottom w:val="single" w:color="auto" w:sz="4" w:space="0"/>
              <w:right w:val="single" w:color="auto" w:sz="4" w:space="0"/>
            </w:tcBorders>
            <w:noWrap w:val="0"/>
            <w:vAlign w:val="center"/>
          </w:tcPr>
          <w:p w14:paraId="470F6870">
            <w:pPr>
              <w:widowControl/>
              <w:spacing w:beforeAutospacing="1" w:afterAutospacing="1"/>
              <w:jc w:val="center"/>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3000米</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4250839D">
            <w:pPr>
              <w:widowControl/>
              <w:spacing w:beforeAutospacing="1" w:afterAutospacing="1"/>
              <w:jc w:val="left"/>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每日2清</w:t>
            </w:r>
          </w:p>
        </w:tc>
      </w:tr>
      <w:tr w14:paraId="2283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57650D3C">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6</w:t>
            </w:r>
          </w:p>
        </w:tc>
        <w:tc>
          <w:tcPr>
            <w:tcW w:w="2102" w:type="dxa"/>
            <w:gridSpan w:val="2"/>
            <w:tcBorders>
              <w:top w:val="single" w:color="auto" w:sz="4" w:space="0"/>
              <w:left w:val="single" w:color="auto" w:sz="4" w:space="0"/>
              <w:bottom w:val="single" w:color="auto" w:sz="4" w:space="0"/>
              <w:right w:val="single" w:color="auto" w:sz="4" w:space="0"/>
            </w:tcBorders>
            <w:noWrap w:val="0"/>
            <w:vAlign w:val="center"/>
          </w:tcPr>
          <w:p w14:paraId="337AFF7E">
            <w:pPr>
              <w:jc w:val="center"/>
              <w:textAlignment w:val="baseline"/>
              <w:rPr>
                <w:rFonts w:hint="eastAsia"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云湖谷</w:t>
            </w:r>
          </w:p>
        </w:tc>
        <w:tc>
          <w:tcPr>
            <w:tcW w:w="2102" w:type="dxa"/>
            <w:gridSpan w:val="3"/>
            <w:tcBorders>
              <w:top w:val="single" w:color="auto" w:sz="4" w:space="0"/>
              <w:left w:val="single" w:color="auto" w:sz="4" w:space="0"/>
              <w:bottom w:val="single" w:color="auto" w:sz="4" w:space="0"/>
              <w:right w:val="single" w:color="auto" w:sz="4" w:space="0"/>
            </w:tcBorders>
            <w:noWrap w:val="0"/>
            <w:vAlign w:val="center"/>
          </w:tcPr>
          <w:p w14:paraId="6577A3FA">
            <w:pPr>
              <w:widowControl/>
              <w:spacing w:beforeAutospacing="1" w:afterAutospacing="1"/>
              <w:jc w:val="center"/>
              <w:rPr>
                <w:rFonts w:hint="eastAsia"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2条</w:t>
            </w:r>
          </w:p>
        </w:tc>
        <w:tc>
          <w:tcPr>
            <w:tcW w:w="3310" w:type="dxa"/>
            <w:gridSpan w:val="3"/>
            <w:tcBorders>
              <w:top w:val="single" w:color="auto" w:sz="4" w:space="0"/>
              <w:left w:val="single" w:color="auto" w:sz="4" w:space="0"/>
              <w:bottom w:val="single" w:color="auto" w:sz="4" w:space="0"/>
              <w:right w:val="single" w:color="auto" w:sz="4" w:space="0"/>
            </w:tcBorders>
            <w:noWrap w:val="0"/>
            <w:vAlign w:val="center"/>
          </w:tcPr>
          <w:p w14:paraId="617BDDE4">
            <w:pPr>
              <w:widowControl/>
              <w:spacing w:beforeAutospacing="1" w:afterAutospacing="1"/>
              <w:jc w:val="center"/>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2000米</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3D0D9109">
            <w:pPr>
              <w:widowControl/>
              <w:spacing w:beforeAutospacing="1" w:afterAutospacing="1"/>
              <w:jc w:val="left"/>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每日2清</w:t>
            </w:r>
          </w:p>
        </w:tc>
      </w:tr>
      <w:tr w14:paraId="73B5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389F6B5F">
            <w:pPr>
              <w:jc w:val="center"/>
              <w:textAlignment w:val="baseline"/>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7</w:t>
            </w:r>
          </w:p>
        </w:tc>
        <w:tc>
          <w:tcPr>
            <w:tcW w:w="2102" w:type="dxa"/>
            <w:gridSpan w:val="2"/>
            <w:tcBorders>
              <w:top w:val="single" w:color="auto" w:sz="4" w:space="0"/>
              <w:left w:val="single" w:color="auto" w:sz="4" w:space="0"/>
              <w:bottom w:val="single" w:color="auto" w:sz="4" w:space="0"/>
              <w:right w:val="single" w:color="auto" w:sz="4" w:space="0"/>
            </w:tcBorders>
            <w:noWrap w:val="0"/>
            <w:vAlign w:val="center"/>
          </w:tcPr>
          <w:p w14:paraId="29FC1000">
            <w:pPr>
              <w:jc w:val="center"/>
              <w:textAlignment w:val="baseline"/>
              <w:rPr>
                <w:rFonts w:hint="eastAsia"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岩上</w:t>
            </w:r>
          </w:p>
        </w:tc>
        <w:tc>
          <w:tcPr>
            <w:tcW w:w="2102" w:type="dxa"/>
            <w:gridSpan w:val="3"/>
            <w:tcBorders>
              <w:top w:val="single" w:color="auto" w:sz="4" w:space="0"/>
              <w:left w:val="single" w:color="auto" w:sz="4" w:space="0"/>
              <w:bottom w:val="single" w:color="auto" w:sz="4" w:space="0"/>
              <w:right w:val="single" w:color="auto" w:sz="4" w:space="0"/>
            </w:tcBorders>
            <w:noWrap w:val="0"/>
            <w:vAlign w:val="center"/>
          </w:tcPr>
          <w:p w14:paraId="7D7CFC2B">
            <w:pPr>
              <w:widowControl/>
              <w:spacing w:beforeAutospacing="1" w:afterAutospacing="1"/>
              <w:jc w:val="center"/>
              <w:rPr>
                <w:rFonts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无</w:t>
            </w:r>
          </w:p>
        </w:tc>
        <w:tc>
          <w:tcPr>
            <w:tcW w:w="3310" w:type="dxa"/>
            <w:gridSpan w:val="3"/>
            <w:tcBorders>
              <w:top w:val="single" w:color="auto" w:sz="4" w:space="0"/>
              <w:left w:val="single" w:color="auto" w:sz="4" w:space="0"/>
              <w:bottom w:val="single" w:color="auto" w:sz="4" w:space="0"/>
              <w:right w:val="single" w:color="auto" w:sz="4" w:space="0"/>
            </w:tcBorders>
            <w:noWrap w:val="0"/>
            <w:vAlign w:val="center"/>
          </w:tcPr>
          <w:p w14:paraId="4D820B22">
            <w:pPr>
              <w:widowControl/>
              <w:spacing w:beforeAutospacing="1" w:afterAutospacing="1"/>
              <w:jc w:val="center"/>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4ECCADB1">
            <w:pPr>
              <w:widowControl/>
              <w:spacing w:beforeAutospacing="1" w:afterAutospacing="1"/>
              <w:jc w:val="center"/>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w:t>
            </w:r>
          </w:p>
        </w:tc>
      </w:tr>
      <w:tr w14:paraId="2436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36ACF399">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8</w:t>
            </w:r>
          </w:p>
        </w:tc>
        <w:tc>
          <w:tcPr>
            <w:tcW w:w="2102" w:type="dxa"/>
            <w:gridSpan w:val="2"/>
            <w:tcBorders>
              <w:top w:val="single" w:color="auto" w:sz="4" w:space="0"/>
              <w:left w:val="single" w:color="auto" w:sz="4" w:space="0"/>
              <w:bottom w:val="single" w:color="auto" w:sz="4" w:space="0"/>
              <w:right w:val="single" w:color="auto" w:sz="4" w:space="0"/>
            </w:tcBorders>
            <w:noWrap w:val="0"/>
            <w:vAlign w:val="center"/>
          </w:tcPr>
          <w:p w14:paraId="7F45E038">
            <w:pPr>
              <w:jc w:val="center"/>
              <w:textAlignment w:val="baseline"/>
              <w:rPr>
                <w:rFonts w:hint="eastAsia"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卓南坑</w:t>
            </w:r>
          </w:p>
        </w:tc>
        <w:tc>
          <w:tcPr>
            <w:tcW w:w="2102" w:type="dxa"/>
            <w:gridSpan w:val="3"/>
            <w:tcBorders>
              <w:top w:val="single" w:color="auto" w:sz="4" w:space="0"/>
              <w:left w:val="single" w:color="auto" w:sz="4" w:space="0"/>
              <w:bottom w:val="single" w:color="auto" w:sz="4" w:space="0"/>
              <w:right w:val="single" w:color="auto" w:sz="4" w:space="0"/>
            </w:tcBorders>
            <w:noWrap w:val="0"/>
            <w:vAlign w:val="center"/>
          </w:tcPr>
          <w:p w14:paraId="77D8B0CB">
            <w:pPr>
              <w:widowControl/>
              <w:spacing w:beforeAutospacing="1" w:afterAutospacing="1"/>
              <w:jc w:val="center"/>
              <w:rPr>
                <w:rFonts w:hint="eastAsia" w:ascii="宋体" w:hAnsi="Times New Roman" w:eastAsia="宋体"/>
                <w:b w:val="0"/>
                <w:color w:val="auto"/>
                <w:kern w:val="2"/>
                <w:sz w:val="22"/>
                <w:szCs w:val="22"/>
                <w:highlight w:val="none"/>
              </w:rPr>
            </w:pPr>
            <w:r>
              <w:rPr>
                <w:rFonts w:hint="eastAsia" w:ascii="宋体" w:hAnsi="Times New Roman" w:eastAsia="宋体"/>
                <w:b w:val="0"/>
                <w:color w:val="auto"/>
                <w:kern w:val="2"/>
                <w:sz w:val="22"/>
                <w:szCs w:val="22"/>
                <w:highlight w:val="none"/>
              </w:rPr>
              <w:t>无</w:t>
            </w:r>
          </w:p>
        </w:tc>
        <w:tc>
          <w:tcPr>
            <w:tcW w:w="3310" w:type="dxa"/>
            <w:gridSpan w:val="3"/>
            <w:tcBorders>
              <w:top w:val="single" w:color="auto" w:sz="4" w:space="0"/>
              <w:left w:val="single" w:color="auto" w:sz="4" w:space="0"/>
              <w:bottom w:val="single" w:color="auto" w:sz="4" w:space="0"/>
              <w:right w:val="single" w:color="auto" w:sz="4" w:space="0"/>
            </w:tcBorders>
            <w:noWrap w:val="0"/>
            <w:vAlign w:val="center"/>
          </w:tcPr>
          <w:p w14:paraId="5B69271E">
            <w:pPr>
              <w:widowControl/>
              <w:spacing w:beforeAutospacing="1" w:afterAutospacing="1"/>
              <w:jc w:val="center"/>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E412E44">
            <w:pPr>
              <w:widowControl/>
              <w:spacing w:beforeAutospacing="1" w:afterAutospacing="1"/>
              <w:jc w:val="center"/>
              <w:rPr>
                <w:rFonts w:hint="eastAsia"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w:t>
            </w:r>
          </w:p>
        </w:tc>
      </w:tr>
      <w:tr w14:paraId="202D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7150213D">
            <w:pPr>
              <w:jc w:val="center"/>
              <w:textAlignment w:val="baseline"/>
              <w:rPr>
                <w:rFonts w:ascii="宋体" w:eastAsia="宋体" w:cs="宋体"/>
                <w:b w:val="0"/>
                <w:color w:val="auto"/>
                <w:kern w:val="2"/>
                <w:sz w:val="22"/>
                <w:szCs w:val="22"/>
                <w:highlight w:val="none"/>
              </w:rPr>
            </w:pPr>
          </w:p>
        </w:tc>
        <w:tc>
          <w:tcPr>
            <w:tcW w:w="9017" w:type="dxa"/>
            <w:gridSpan w:val="9"/>
            <w:tcBorders>
              <w:top w:val="single" w:color="auto" w:sz="4" w:space="0"/>
              <w:left w:val="single" w:color="auto" w:sz="4" w:space="0"/>
              <w:bottom w:val="single" w:color="auto" w:sz="4" w:space="0"/>
              <w:right w:val="single" w:color="auto" w:sz="4" w:space="0"/>
            </w:tcBorders>
            <w:noWrap w:val="0"/>
            <w:vAlign w:val="center"/>
          </w:tcPr>
          <w:p w14:paraId="22418761">
            <w:pPr>
              <w:widowControl/>
              <w:spacing w:beforeAutospacing="1" w:afterAutospacing="1"/>
              <w:jc w:val="center"/>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中转站保洁</w:t>
            </w:r>
          </w:p>
        </w:tc>
      </w:tr>
      <w:tr w14:paraId="70E3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25270914">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序号</w:t>
            </w:r>
          </w:p>
        </w:tc>
        <w:tc>
          <w:tcPr>
            <w:tcW w:w="4204" w:type="dxa"/>
            <w:gridSpan w:val="5"/>
            <w:tcBorders>
              <w:top w:val="single" w:color="auto" w:sz="4" w:space="0"/>
              <w:left w:val="single" w:color="auto" w:sz="4" w:space="0"/>
              <w:bottom w:val="single" w:color="auto" w:sz="4" w:space="0"/>
              <w:right w:val="single" w:color="auto" w:sz="4" w:space="0"/>
            </w:tcBorders>
            <w:noWrap w:val="0"/>
            <w:vAlign w:val="center"/>
          </w:tcPr>
          <w:p w14:paraId="29302B27">
            <w:pPr>
              <w:widowControl/>
              <w:spacing w:beforeAutospacing="1" w:afterAutospacing="1"/>
              <w:jc w:val="center"/>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地点</w:t>
            </w:r>
          </w:p>
        </w:tc>
        <w:tc>
          <w:tcPr>
            <w:tcW w:w="3310" w:type="dxa"/>
            <w:gridSpan w:val="3"/>
            <w:tcBorders>
              <w:top w:val="single" w:color="auto" w:sz="4" w:space="0"/>
              <w:left w:val="single" w:color="auto" w:sz="4" w:space="0"/>
              <w:bottom w:val="single" w:color="auto" w:sz="4" w:space="0"/>
              <w:right w:val="single" w:color="auto" w:sz="4" w:space="0"/>
            </w:tcBorders>
            <w:noWrap w:val="0"/>
            <w:vAlign w:val="center"/>
          </w:tcPr>
          <w:p w14:paraId="27C48921">
            <w:pPr>
              <w:widowControl/>
              <w:spacing w:beforeAutospacing="1" w:afterAutospacing="1"/>
              <w:jc w:val="center"/>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面积</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E761842">
            <w:pPr>
              <w:widowControl/>
              <w:spacing w:beforeAutospacing="1" w:afterAutospacing="1"/>
              <w:jc w:val="left"/>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次数</w:t>
            </w:r>
          </w:p>
        </w:tc>
      </w:tr>
      <w:tr w14:paraId="6BB5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tcBorders>
              <w:top w:val="single" w:color="auto" w:sz="4" w:space="0"/>
              <w:left w:val="single" w:color="auto" w:sz="4" w:space="0"/>
              <w:bottom w:val="single" w:color="auto" w:sz="4" w:space="0"/>
              <w:right w:val="single" w:color="auto" w:sz="4" w:space="0"/>
            </w:tcBorders>
            <w:noWrap w:val="0"/>
            <w:vAlign w:val="center"/>
          </w:tcPr>
          <w:p w14:paraId="6C15CBC7">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1</w:t>
            </w:r>
          </w:p>
        </w:tc>
        <w:tc>
          <w:tcPr>
            <w:tcW w:w="4204" w:type="dxa"/>
            <w:gridSpan w:val="5"/>
            <w:tcBorders>
              <w:top w:val="single" w:color="auto" w:sz="4" w:space="0"/>
              <w:left w:val="single" w:color="auto" w:sz="4" w:space="0"/>
              <w:bottom w:val="single" w:color="auto" w:sz="4" w:space="0"/>
              <w:right w:val="single" w:color="auto" w:sz="4" w:space="0"/>
            </w:tcBorders>
            <w:noWrap w:val="0"/>
            <w:vAlign w:val="center"/>
          </w:tcPr>
          <w:p w14:paraId="51E1EEE3">
            <w:pPr>
              <w:widowControl/>
              <w:spacing w:beforeAutospacing="1" w:afterAutospacing="1"/>
              <w:rPr>
                <w:rFonts w:ascii="宋体" w:eastAsia="宋体" w:cs="宋体"/>
                <w:b w:val="0"/>
                <w:color w:val="auto"/>
                <w:kern w:val="2"/>
                <w:sz w:val="22"/>
                <w:szCs w:val="22"/>
                <w:highlight w:val="none"/>
              </w:rPr>
            </w:pPr>
            <w:r>
              <w:rPr>
                <w:rFonts w:hint="eastAsia" w:ascii="宋体" w:hAnsi="Times New Roman" w:eastAsia="宋体"/>
                <w:b w:val="0"/>
                <w:color w:val="auto"/>
                <w:kern w:val="2"/>
                <w:sz w:val="22"/>
                <w:szCs w:val="22"/>
                <w:highlight w:val="none"/>
              </w:rPr>
              <w:t>泰顺县包垟乡垃圾中转站</w:t>
            </w:r>
          </w:p>
        </w:tc>
        <w:tc>
          <w:tcPr>
            <w:tcW w:w="3310" w:type="dxa"/>
            <w:gridSpan w:val="3"/>
            <w:tcBorders>
              <w:top w:val="single" w:color="auto" w:sz="4" w:space="0"/>
              <w:left w:val="single" w:color="auto" w:sz="4" w:space="0"/>
              <w:bottom w:val="single" w:color="auto" w:sz="4" w:space="0"/>
              <w:right w:val="single" w:color="auto" w:sz="4" w:space="0"/>
            </w:tcBorders>
            <w:noWrap w:val="0"/>
            <w:vAlign w:val="center"/>
          </w:tcPr>
          <w:p w14:paraId="4E7C4006">
            <w:pPr>
              <w:widowControl/>
              <w:spacing w:beforeAutospacing="1" w:afterAutospacing="1"/>
              <w:jc w:val="center"/>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500平方米</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7ED6049">
            <w:pPr>
              <w:widowControl/>
              <w:spacing w:beforeAutospacing="1" w:afterAutospacing="1"/>
              <w:jc w:val="left"/>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每日2次保洁2次消杀毒</w:t>
            </w:r>
          </w:p>
        </w:tc>
      </w:tr>
      <w:tr w14:paraId="5D4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86" w:type="dxa"/>
            <w:vMerge w:val="restart"/>
            <w:tcBorders>
              <w:top w:val="single" w:color="auto" w:sz="4" w:space="0"/>
              <w:left w:val="single" w:color="auto" w:sz="4" w:space="0"/>
              <w:bottom w:val="single" w:color="auto" w:sz="4" w:space="0"/>
              <w:right w:val="single" w:color="auto" w:sz="4" w:space="0"/>
            </w:tcBorders>
            <w:noWrap w:val="0"/>
            <w:vAlign w:val="center"/>
          </w:tcPr>
          <w:p w14:paraId="49B073E5">
            <w:pPr>
              <w:jc w:val="center"/>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备注</w:t>
            </w:r>
          </w:p>
        </w:tc>
        <w:tc>
          <w:tcPr>
            <w:tcW w:w="9017" w:type="dxa"/>
            <w:gridSpan w:val="9"/>
            <w:tcBorders>
              <w:top w:val="single" w:color="auto" w:sz="4" w:space="0"/>
              <w:left w:val="single" w:color="auto" w:sz="4" w:space="0"/>
              <w:bottom w:val="single" w:color="auto" w:sz="4" w:space="0"/>
              <w:right w:val="single" w:color="auto" w:sz="4" w:space="0"/>
            </w:tcBorders>
            <w:noWrap w:val="0"/>
            <w:vAlign w:val="center"/>
          </w:tcPr>
          <w:p w14:paraId="6967D7C6">
            <w:pPr>
              <w:widowControl/>
              <w:spacing w:beforeAutospacing="1" w:afterAutospacing="1"/>
              <w:jc w:val="left"/>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同时包含辖区内所有公共场所（公厕、公园、水沟、绿化带）的保洁和垃圾清运，包括但不限于公共场所。</w:t>
            </w:r>
          </w:p>
        </w:tc>
      </w:tr>
      <w:tr w14:paraId="6A07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229361EC">
            <w:pPr>
              <w:jc w:val="center"/>
              <w:textAlignment w:val="baseline"/>
              <w:rPr>
                <w:rFonts w:ascii="宋体" w:eastAsia="宋体" w:cs="宋体"/>
                <w:b w:val="0"/>
                <w:color w:val="auto"/>
                <w:kern w:val="2"/>
                <w:sz w:val="22"/>
                <w:szCs w:val="22"/>
                <w:highlight w:val="none"/>
              </w:rPr>
            </w:pPr>
          </w:p>
        </w:tc>
        <w:tc>
          <w:tcPr>
            <w:tcW w:w="9017" w:type="dxa"/>
            <w:gridSpan w:val="9"/>
            <w:tcBorders>
              <w:top w:val="single" w:color="auto" w:sz="4" w:space="0"/>
              <w:left w:val="single" w:color="auto" w:sz="4" w:space="0"/>
              <w:bottom w:val="single" w:color="auto" w:sz="4" w:space="0"/>
              <w:right w:val="single" w:color="auto" w:sz="4" w:space="0"/>
            </w:tcBorders>
            <w:noWrap w:val="0"/>
            <w:vAlign w:val="center"/>
          </w:tcPr>
          <w:p w14:paraId="4DB4926A">
            <w:pPr>
              <w:widowControl/>
              <w:spacing w:beforeAutospacing="1" w:afterAutospacing="1"/>
              <w:jc w:val="left"/>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每日生活垃圾转运至泰顺县包垟乡垃圾中转站。</w:t>
            </w:r>
          </w:p>
        </w:tc>
      </w:tr>
      <w:tr w14:paraId="05F0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14:paraId="658932D3">
            <w:pPr>
              <w:jc w:val="center"/>
              <w:textAlignment w:val="baseline"/>
              <w:rPr>
                <w:rFonts w:ascii="宋体" w:eastAsia="宋体" w:cs="宋体"/>
                <w:b w:val="0"/>
                <w:color w:val="auto"/>
                <w:kern w:val="2"/>
                <w:sz w:val="22"/>
                <w:szCs w:val="22"/>
                <w:highlight w:val="none"/>
              </w:rPr>
            </w:pPr>
          </w:p>
        </w:tc>
        <w:tc>
          <w:tcPr>
            <w:tcW w:w="9017" w:type="dxa"/>
            <w:gridSpan w:val="9"/>
            <w:tcBorders>
              <w:top w:val="single" w:color="auto" w:sz="4" w:space="0"/>
              <w:left w:val="single" w:color="auto" w:sz="4" w:space="0"/>
              <w:bottom w:val="single" w:color="auto" w:sz="4" w:space="0"/>
              <w:right w:val="single" w:color="auto" w:sz="4" w:space="0"/>
            </w:tcBorders>
            <w:noWrap w:val="0"/>
            <w:vAlign w:val="center"/>
          </w:tcPr>
          <w:p w14:paraId="3B7987EF">
            <w:pPr>
              <w:jc w:val="left"/>
              <w:textAlignment w:val="baseline"/>
              <w:rPr>
                <w:rFonts w:ascii="宋体" w:eastAsia="宋体" w:cs="宋体"/>
                <w:b w:val="0"/>
                <w:color w:val="auto"/>
                <w:kern w:val="2"/>
                <w:sz w:val="22"/>
                <w:szCs w:val="22"/>
                <w:highlight w:val="none"/>
              </w:rPr>
            </w:pPr>
            <w:r>
              <w:rPr>
                <w:rFonts w:hint="eastAsia" w:ascii="宋体" w:eastAsia="宋体" w:cs="宋体"/>
                <w:b w:val="0"/>
                <w:color w:val="auto"/>
                <w:kern w:val="2"/>
                <w:sz w:val="22"/>
                <w:szCs w:val="22"/>
                <w:highlight w:val="none"/>
              </w:rPr>
              <w:t>备注：以上面积均为估算面积，投标人自行承担报价风险。</w:t>
            </w:r>
          </w:p>
        </w:tc>
      </w:tr>
    </w:tbl>
    <w:p w14:paraId="5F414003">
      <w:pPr>
        <w:pStyle w:val="25"/>
        <w:ind w:left="0" w:leftChars="0" w:firstLine="0" w:firstLineChars="0"/>
        <w:rPr>
          <w:rFonts w:hint="eastAsia"/>
          <w:color w:val="auto"/>
          <w:highlight w:val="none"/>
          <w:lang w:eastAsia="zh-CN"/>
        </w:rPr>
      </w:pPr>
    </w:p>
    <w:p w14:paraId="00C6EF95">
      <w:pPr>
        <w:pStyle w:val="32"/>
        <w:adjustRightInd w:val="0"/>
        <w:spacing w:line="420" w:lineRule="atLeast"/>
        <w:ind w:firstLine="446" w:firstLineChars="20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三、投入人员及设备最低配置要求 </w:t>
      </w:r>
    </w:p>
    <w:p w14:paraId="7867380E">
      <w:pPr>
        <w:snapToGrid w:val="0"/>
        <w:spacing w:line="400" w:lineRule="exact"/>
        <w:ind w:firstLine="44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1.▲投入人员不得低于</w:t>
      </w:r>
      <w:r>
        <w:rPr>
          <w:rFonts w:hint="eastAsia" w:ascii="宋体" w:hAnsi="宋体" w:eastAsia="宋体" w:cs="宋体"/>
          <w:b/>
          <w:bCs/>
          <w:color w:val="auto"/>
          <w:sz w:val="22"/>
          <w:szCs w:val="22"/>
          <w:highlight w:val="none"/>
          <w:lang w:val="en-US" w:eastAsia="zh-CN"/>
        </w:rPr>
        <w:t>35</w:t>
      </w:r>
      <w:r>
        <w:rPr>
          <w:rFonts w:hint="eastAsia" w:ascii="宋体" w:hAnsi="宋体" w:eastAsia="宋体" w:cs="宋体"/>
          <w:b/>
          <w:bCs/>
          <w:color w:val="auto"/>
          <w:sz w:val="22"/>
          <w:szCs w:val="22"/>
          <w:highlight w:val="none"/>
        </w:rPr>
        <w:t>人（含），同时包含1名项目负责人、1名台账资料员，人员年龄原</w:t>
      </w:r>
      <w:r>
        <w:rPr>
          <w:rFonts w:hint="eastAsia" w:ascii="宋体" w:hAnsi="宋体" w:cs="宋体"/>
          <w:b/>
          <w:bCs/>
          <w:color w:val="auto"/>
          <w:sz w:val="22"/>
          <w:szCs w:val="22"/>
          <w:highlight w:val="none"/>
          <w:lang w:eastAsia="zh-CN"/>
        </w:rPr>
        <w:t>则上</w:t>
      </w:r>
      <w:r>
        <w:rPr>
          <w:rFonts w:hint="eastAsia" w:ascii="宋体" w:hAnsi="宋体" w:eastAsia="宋体" w:cs="宋体"/>
          <w:b/>
          <w:bCs/>
          <w:color w:val="auto"/>
          <w:sz w:val="22"/>
          <w:szCs w:val="22"/>
          <w:highlight w:val="none"/>
        </w:rPr>
        <w:t>不超过60周岁（含），身体健康。</w:t>
      </w:r>
    </w:p>
    <w:p w14:paraId="7F3AC1B2">
      <w:pPr>
        <w:autoSpaceDE w:val="0"/>
        <w:autoSpaceDN w:val="0"/>
        <w:adjustRightIn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2.各类车辆及设备最低配置要求表：</w:t>
      </w:r>
    </w:p>
    <w:tbl>
      <w:tblPr>
        <w:tblStyle w:val="26"/>
        <w:tblpPr w:leftFromText="180" w:rightFromText="180" w:vertAnchor="text" w:horzAnchor="page" w:tblpX="1334" w:tblpY="246"/>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50"/>
        <w:gridCol w:w="900"/>
        <w:gridCol w:w="5176"/>
        <w:gridCol w:w="1216"/>
      </w:tblGrid>
      <w:tr w14:paraId="4A57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7F6A53AB">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序号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4CA1698">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配置设备名称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9C2FDFC">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数量</w:t>
            </w:r>
          </w:p>
        </w:tc>
        <w:tc>
          <w:tcPr>
            <w:tcW w:w="5176" w:type="dxa"/>
            <w:tcBorders>
              <w:top w:val="single" w:color="auto" w:sz="4" w:space="0"/>
              <w:left w:val="single" w:color="auto" w:sz="4" w:space="0"/>
              <w:bottom w:val="single" w:color="auto" w:sz="4" w:space="0"/>
              <w:right w:val="single" w:color="auto" w:sz="4" w:space="0"/>
            </w:tcBorders>
            <w:noWrap w:val="0"/>
            <w:vAlign w:val="center"/>
          </w:tcPr>
          <w:p w14:paraId="04A2F4F9">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最低配置要求</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8B05FFB">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备注</w:t>
            </w:r>
          </w:p>
        </w:tc>
      </w:tr>
      <w:tr w14:paraId="1A64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18702D3E">
            <w:pPr>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1</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1FEE7EB">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环卫巡查车</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92C031C">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1台</w:t>
            </w:r>
          </w:p>
        </w:tc>
        <w:tc>
          <w:tcPr>
            <w:tcW w:w="5176" w:type="dxa"/>
            <w:tcBorders>
              <w:top w:val="single" w:color="auto" w:sz="4" w:space="0"/>
              <w:left w:val="single" w:color="auto" w:sz="4" w:space="0"/>
              <w:bottom w:val="single" w:color="auto" w:sz="4" w:space="0"/>
              <w:right w:val="single" w:color="auto" w:sz="4" w:space="0"/>
            </w:tcBorders>
            <w:noWrap w:val="0"/>
            <w:vAlign w:val="center"/>
          </w:tcPr>
          <w:p w14:paraId="49FB2DD5">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p>
        </w:tc>
        <w:tc>
          <w:tcPr>
            <w:tcW w:w="1216" w:type="dxa"/>
            <w:vMerge w:val="restart"/>
            <w:tcBorders>
              <w:top w:val="single" w:color="auto" w:sz="4" w:space="0"/>
              <w:left w:val="single" w:color="auto" w:sz="4" w:space="0"/>
              <w:right w:val="single" w:color="auto" w:sz="4" w:space="0"/>
            </w:tcBorders>
            <w:noWrap w:val="0"/>
            <w:vAlign w:val="center"/>
          </w:tcPr>
          <w:p w14:paraId="1E28D168">
            <w:pPr>
              <w:rPr>
                <w:color w:val="auto"/>
                <w:highlight w:val="none"/>
              </w:rPr>
            </w:pPr>
            <w:r>
              <w:rPr>
                <w:rFonts w:hint="eastAsia" w:eastAsia="宋体"/>
                <w:color w:val="auto"/>
                <w:sz w:val="22"/>
                <w:szCs w:val="22"/>
                <w:highlight w:val="none"/>
              </w:rPr>
              <w:t>投标人自行配备</w:t>
            </w:r>
          </w:p>
          <w:p w14:paraId="0E94B33A">
            <w:pPr>
              <w:rPr>
                <w:rFonts w:ascii="Times New Roman" w:hAnsi="Times New Roman" w:eastAsia="宋体"/>
                <w:b w:val="0"/>
                <w:color w:val="auto"/>
                <w:kern w:val="2"/>
                <w:sz w:val="22"/>
                <w:szCs w:val="22"/>
                <w:highlight w:val="none"/>
              </w:rPr>
            </w:pPr>
          </w:p>
        </w:tc>
      </w:tr>
      <w:tr w14:paraId="6443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7C1A594A">
            <w:pPr>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2</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3745012">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8</w:t>
            </w:r>
            <w:r>
              <w:rPr>
                <w:rFonts w:hint="eastAsia"/>
                <w:b w:val="0"/>
                <w:color w:val="auto"/>
                <w:kern w:val="2"/>
                <w:sz w:val="22"/>
                <w:szCs w:val="22"/>
                <w:highlight w:val="none"/>
                <w:lang w:val="en-US" w:eastAsia="zh-CN"/>
              </w:rPr>
              <w:t>吨</w:t>
            </w:r>
            <w:r>
              <w:rPr>
                <w:rFonts w:hint="eastAsia" w:ascii="Times New Roman" w:hAnsi="Times New Roman" w:eastAsia="宋体"/>
                <w:b w:val="0"/>
                <w:color w:val="auto"/>
                <w:kern w:val="2"/>
                <w:sz w:val="22"/>
                <w:szCs w:val="22"/>
                <w:highlight w:val="none"/>
              </w:rPr>
              <w:t>洒水车</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8052BA1">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1台</w:t>
            </w:r>
          </w:p>
        </w:tc>
        <w:tc>
          <w:tcPr>
            <w:tcW w:w="5176" w:type="dxa"/>
            <w:tcBorders>
              <w:top w:val="single" w:color="auto" w:sz="4" w:space="0"/>
              <w:left w:val="single" w:color="auto" w:sz="4" w:space="0"/>
              <w:bottom w:val="single" w:color="auto" w:sz="4" w:space="0"/>
              <w:right w:val="single" w:color="auto" w:sz="4" w:space="0"/>
            </w:tcBorders>
            <w:noWrap w:val="0"/>
            <w:vAlign w:val="center"/>
          </w:tcPr>
          <w:p w14:paraId="6F6DB849">
            <w:pPr>
              <w:rPr>
                <w:rFonts w:hint="default" w:ascii="Times New Roman" w:hAnsi="Times New Roman" w:eastAsia="宋体"/>
                <w:b w:val="0"/>
                <w:color w:val="auto"/>
                <w:kern w:val="2"/>
                <w:sz w:val="22"/>
                <w:szCs w:val="22"/>
                <w:highlight w:val="none"/>
                <w:lang w:val="en-US" w:eastAsia="zh-CN"/>
              </w:rPr>
            </w:pPr>
            <w:r>
              <w:rPr>
                <w:rFonts w:hint="eastAsia"/>
                <w:b w:val="0"/>
                <w:color w:val="auto"/>
                <w:kern w:val="2"/>
                <w:sz w:val="22"/>
                <w:szCs w:val="22"/>
                <w:highlight w:val="none"/>
                <w:lang w:val="en-US" w:eastAsia="zh-CN"/>
              </w:rPr>
              <w:t>总质量</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8吨</w:t>
            </w:r>
          </w:p>
        </w:tc>
        <w:tc>
          <w:tcPr>
            <w:tcW w:w="1216" w:type="dxa"/>
            <w:vMerge w:val="continue"/>
            <w:tcBorders>
              <w:left w:val="single" w:color="auto" w:sz="4" w:space="0"/>
              <w:right w:val="single" w:color="auto" w:sz="4" w:space="0"/>
            </w:tcBorders>
            <w:noWrap w:val="0"/>
            <w:vAlign w:val="center"/>
          </w:tcPr>
          <w:p w14:paraId="4B06DA59">
            <w:pPr>
              <w:rPr>
                <w:rFonts w:ascii="Times New Roman" w:hAnsi="Times New Roman" w:eastAsia="宋体"/>
                <w:b w:val="0"/>
                <w:color w:val="auto"/>
                <w:kern w:val="2"/>
                <w:sz w:val="22"/>
                <w:szCs w:val="22"/>
                <w:highlight w:val="none"/>
              </w:rPr>
            </w:pPr>
          </w:p>
        </w:tc>
      </w:tr>
      <w:tr w14:paraId="7E41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2DB51F07">
            <w:pPr>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3</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3E48E0D">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lang w:val="en-US" w:eastAsia="zh-CN"/>
              </w:rPr>
              <w:t>电动四轮后吊桶垃圾</w:t>
            </w:r>
            <w:r>
              <w:rPr>
                <w:rFonts w:hint="eastAsia" w:ascii="Times New Roman" w:hAnsi="Times New Roman" w:eastAsia="宋体"/>
                <w:b w:val="0"/>
                <w:color w:val="auto"/>
                <w:kern w:val="2"/>
                <w:sz w:val="22"/>
                <w:szCs w:val="22"/>
                <w:highlight w:val="none"/>
              </w:rPr>
              <w:t>清运车</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90ACD71">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r>
              <w:rPr>
                <w:rFonts w:hint="eastAsia" w:ascii="Times New Roman" w:hAnsi="Times New Roman" w:eastAsia="宋体"/>
                <w:b w:val="0"/>
                <w:color w:val="auto"/>
                <w:kern w:val="2"/>
                <w:sz w:val="22"/>
                <w:szCs w:val="22"/>
                <w:highlight w:val="none"/>
                <w:lang w:val="en-US" w:eastAsia="zh-CN"/>
              </w:rPr>
              <w:t>4</w:t>
            </w:r>
            <w:r>
              <w:rPr>
                <w:rFonts w:hint="eastAsia" w:ascii="Times New Roman" w:hAnsi="Times New Roman" w:eastAsia="宋体"/>
                <w:b w:val="0"/>
                <w:color w:val="auto"/>
                <w:kern w:val="2"/>
                <w:sz w:val="22"/>
                <w:szCs w:val="22"/>
                <w:highlight w:val="none"/>
              </w:rPr>
              <w:t>辆</w:t>
            </w:r>
          </w:p>
        </w:tc>
        <w:tc>
          <w:tcPr>
            <w:tcW w:w="5176" w:type="dxa"/>
            <w:tcBorders>
              <w:top w:val="single" w:color="auto" w:sz="4" w:space="0"/>
              <w:left w:val="single" w:color="auto" w:sz="4" w:space="0"/>
              <w:bottom w:val="single" w:color="auto" w:sz="4" w:space="0"/>
              <w:right w:val="single" w:color="auto" w:sz="4" w:space="0"/>
            </w:tcBorders>
            <w:noWrap w:val="0"/>
            <w:vAlign w:val="center"/>
          </w:tcPr>
          <w:p w14:paraId="5B434AA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装载垃圾容量≥3立方米，动力≥72V400AH锂电池，实际续航里程≥200千</w:t>
            </w:r>
          </w:p>
          <w:p w14:paraId="765E1B4D">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米，电动液压遥控自动装载,车辆须配置、开通车联网功能,a.可在线实时查</w:t>
            </w:r>
          </w:p>
          <w:p w14:paraId="7FFED2D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看车辆实时位置；b.随时查看车辆的历史轨迹回放；c.查看车辆的精准行驶</w:t>
            </w:r>
          </w:p>
          <w:p w14:paraId="1360F3C8">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里程；d.车辆实时</w:t>
            </w:r>
            <w:r>
              <w:rPr>
                <w:rFonts w:hint="eastAsia" w:ascii="宋体" w:hAnsi="宋体" w:cs="宋体"/>
                <w:color w:val="auto"/>
                <w:sz w:val="22"/>
                <w:szCs w:val="22"/>
                <w:highlight w:val="none"/>
                <w:lang w:eastAsia="zh-CN"/>
              </w:rPr>
              <w:t>挡位</w:t>
            </w:r>
            <w:r>
              <w:rPr>
                <w:rFonts w:hint="eastAsia" w:ascii="宋体" w:hAnsi="宋体" w:eastAsia="宋体" w:cs="宋体"/>
                <w:color w:val="auto"/>
                <w:sz w:val="22"/>
                <w:szCs w:val="22"/>
                <w:highlight w:val="none"/>
              </w:rPr>
              <w:t>信息、行驶速度；f.电池实时工作电流、电压、电量；</w:t>
            </w:r>
          </w:p>
          <w:p w14:paraId="054CD058">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电动四g.查询并导出车辆的历史行驶里程、作业里程、作业面积等作业信息；h.显轮后吊</w:t>
            </w:r>
          </w:p>
          <w:p w14:paraId="5718BFD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6示车辆故障码、对异常故障能够做出预测性报警；i.电子围栏功能设置作</w:t>
            </w:r>
            <w:r>
              <w:rPr>
                <w:rFonts w:hint="eastAsia" w:ascii="宋体" w:hAnsi="宋体" w:cs="宋体"/>
                <w:color w:val="auto"/>
                <w:sz w:val="22"/>
                <w:szCs w:val="22"/>
                <w:highlight w:val="none"/>
                <w:lang w:eastAsia="zh-CN"/>
              </w:rPr>
              <w:t>业车</w:t>
            </w:r>
            <w:r>
              <w:rPr>
                <w:rFonts w:hint="eastAsia" w:ascii="宋体" w:hAnsi="宋体" w:eastAsia="宋体" w:cs="宋体"/>
                <w:color w:val="auto"/>
                <w:sz w:val="22"/>
                <w:szCs w:val="22"/>
                <w:highlight w:val="none"/>
              </w:rPr>
              <w:t>辆</w:t>
            </w:r>
          </w:p>
          <w:p w14:paraId="7C0A6D37">
            <w:pPr>
              <w:rPr>
                <w:rFonts w:ascii="Times New Roman" w:hAnsi="Times New Roman" w:eastAsia="宋体"/>
                <w:b w:val="0"/>
                <w:color w:val="auto"/>
                <w:kern w:val="2"/>
                <w:sz w:val="22"/>
                <w:szCs w:val="22"/>
                <w:highlight w:val="none"/>
              </w:rPr>
            </w:pPr>
            <w:r>
              <w:rPr>
                <w:rFonts w:hint="eastAsia" w:ascii="宋体" w:hAnsi="宋体" w:eastAsia="宋体" w:cs="宋体"/>
                <w:color w:val="auto"/>
                <w:sz w:val="22"/>
                <w:szCs w:val="22"/>
                <w:highlight w:val="none"/>
              </w:rPr>
              <w:t>桶清运区域超出范围作业时报警；j.操作保养异常等各种报警提示。底盘采用车架纵横梁整体铆接式汽车用底盘设计，选用卡车专用钢板，底盘整体强度高，承载能力强整车控制系统采用单片机控制，电阻式加速器，具有防电磁干扰、防飞车、启动延时和倒车减速、电子防溜坡、能量回馈、故障报错、CAN通讯、EPS等安全功能。</w:t>
            </w:r>
          </w:p>
        </w:tc>
        <w:tc>
          <w:tcPr>
            <w:tcW w:w="1216" w:type="dxa"/>
            <w:vMerge w:val="continue"/>
            <w:tcBorders>
              <w:left w:val="single" w:color="auto" w:sz="4" w:space="0"/>
              <w:right w:val="single" w:color="auto" w:sz="4" w:space="0"/>
            </w:tcBorders>
            <w:noWrap w:val="0"/>
            <w:vAlign w:val="center"/>
          </w:tcPr>
          <w:p w14:paraId="124B9121">
            <w:pPr>
              <w:rPr>
                <w:rFonts w:ascii="Times New Roman" w:hAnsi="Times New Roman" w:eastAsia="宋体"/>
                <w:b w:val="0"/>
                <w:color w:val="auto"/>
                <w:kern w:val="2"/>
                <w:sz w:val="22"/>
                <w:szCs w:val="22"/>
                <w:highlight w:val="none"/>
              </w:rPr>
            </w:pPr>
          </w:p>
        </w:tc>
      </w:tr>
      <w:tr w14:paraId="4CA5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7725C7FC">
            <w:pPr>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4</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914F551">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吹地风机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F56CBD0">
            <w:pPr>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9</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0"/>
            <w:vAlign w:val="center"/>
          </w:tcPr>
          <w:p w14:paraId="521E8CF2">
            <w:pP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功率：≥3200W</w:t>
            </w:r>
          </w:p>
        </w:tc>
        <w:tc>
          <w:tcPr>
            <w:tcW w:w="1216" w:type="dxa"/>
            <w:vMerge w:val="continue"/>
            <w:tcBorders>
              <w:left w:val="single" w:color="auto" w:sz="4" w:space="0"/>
              <w:right w:val="single" w:color="auto" w:sz="4" w:space="0"/>
            </w:tcBorders>
            <w:noWrap w:val="0"/>
            <w:vAlign w:val="center"/>
          </w:tcPr>
          <w:p w14:paraId="576B1037">
            <w:pPr>
              <w:rPr>
                <w:rFonts w:ascii="Times New Roman" w:hAnsi="Times New Roman" w:eastAsia="宋体"/>
                <w:b w:val="0"/>
                <w:color w:val="auto"/>
                <w:kern w:val="2"/>
                <w:sz w:val="22"/>
                <w:szCs w:val="22"/>
                <w:highlight w:val="none"/>
              </w:rPr>
            </w:pPr>
          </w:p>
        </w:tc>
      </w:tr>
      <w:tr w14:paraId="7B76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5C68C586">
            <w:pPr>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5</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11CFB02">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除臭仪器</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24DE19">
            <w:pPr>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9</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0"/>
            <w:vAlign w:val="center"/>
          </w:tcPr>
          <w:p w14:paraId="5410E0EE">
            <w:pP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p>
        </w:tc>
        <w:tc>
          <w:tcPr>
            <w:tcW w:w="1216" w:type="dxa"/>
            <w:vMerge w:val="continue"/>
            <w:tcBorders>
              <w:left w:val="single" w:color="auto" w:sz="4" w:space="0"/>
              <w:right w:val="single" w:color="auto" w:sz="4" w:space="0"/>
            </w:tcBorders>
            <w:noWrap w:val="0"/>
            <w:vAlign w:val="center"/>
          </w:tcPr>
          <w:p w14:paraId="6EA57597">
            <w:pPr>
              <w:rPr>
                <w:rFonts w:ascii="Times New Roman" w:hAnsi="Times New Roman" w:eastAsia="宋体"/>
                <w:b w:val="0"/>
                <w:color w:val="auto"/>
                <w:kern w:val="2"/>
                <w:sz w:val="22"/>
                <w:szCs w:val="22"/>
                <w:highlight w:val="none"/>
              </w:rPr>
            </w:pPr>
          </w:p>
        </w:tc>
      </w:tr>
      <w:tr w14:paraId="266B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12D17B94">
            <w:pPr>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6</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B0A84F0">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通厕机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2FB8D55">
            <w:pPr>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1</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0"/>
            <w:vAlign w:val="center"/>
          </w:tcPr>
          <w:p w14:paraId="67F44999">
            <w:pP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功率：≥2200W</w:t>
            </w:r>
          </w:p>
        </w:tc>
        <w:tc>
          <w:tcPr>
            <w:tcW w:w="1216" w:type="dxa"/>
            <w:vMerge w:val="continue"/>
            <w:tcBorders>
              <w:left w:val="single" w:color="auto" w:sz="4" w:space="0"/>
              <w:right w:val="single" w:color="auto" w:sz="4" w:space="0"/>
            </w:tcBorders>
            <w:noWrap w:val="0"/>
            <w:vAlign w:val="center"/>
          </w:tcPr>
          <w:p w14:paraId="6CD6E338">
            <w:pPr>
              <w:rPr>
                <w:rFonts w:ascii="Times New Roman" w:hAnsi="Times New Roman" w:eastAsia="宋体"/>
                <w:b w:val="0"/>
                <w:color w:val="auto"/>
                <w:kern w:val="2"/>
                <w:sz w:val="22"/>
                <w:szCs w:val="22"/>
                <w:highlight w:val="none"/>
              </w:rPr>
            </w:pPr>
          </w:p>
        </w:tc>
      </w:tr>
      <w:tr w14:paraId="11A4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 w:type="dxa"/>
            <w:tcBorders>
              <w:top w:val="single" w:color="auto" w:sz="4" w:space="0"/>
              <w:left w:val="single" w:color="auto" w:sz="4" w:space="0"/>
              <w:bottom w:val="single" w:color="auto" w:sz="4" w:space="0"/>
              <w:right w:val="single" w:color="auto" w:sz="4" w:space="0"/>
            </w:tcBorders>
            <w:noWrap w:val="0"/>
            <w:vAlign w:val="center"/>
          </w:tcPr>
          <w:p w14:paraId="52ABB354">
            <w:pPr>
              <w:jc w:val="center"/>
              <w:rPr>
                <w:rFonts w:hint="eastAsia"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7</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F197964">
            <w:pPr>
              <w:jc w:val="cente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灭蝇灭蚊灯</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DA41327">
            <w:pPr>
              <w:jc w:val="center"/>
              <w:rPr>
                <w:rFonts w:ascii="Times New Roman" w:hAnsi="Times New Roman" w:eastAsia="宋体"/>
                <w:b w:val="0"/>
                <w:color w:val="auto"/>
                <w:kern w:val="2"/>
                <w:sz w:val="22"/>
                <w:szCs w:val="22"/>
                <w:highlight w:val="none"/>
              </w:rPr>
            </w:pPr>
            <w:r>
              <w:rPr>
                <w:rFonts w:hint="eastAsia"/>
                <w:b w:val="0"/>
                <w:color w:val="auto"/>
                <w:kern w:val="2"/>
                <w:sz w:val="22"/>
                <w:szCs w:val="22"/>
                <w:highlight w:val="none"/>
                <w:lang w:val="en-US" w:eastAsia="zh-CN"/>
              </w:rPr>
              <w:t>9</w:t>
            </w:r>
            <w:r>
              <w:rPr>
                <w:rFonts w:hint="eastAsia" w:ascii="Times New Roman" w:hAnsi="Times New Roman" w:eastAsia="宋体"/>
                <w:b w:val="0"/>
                <w:color w:val="auto"/>
                <w:kern w:val="2"/>
                <w:sz w:val="22"/>
                <w:szCs w:val="22"/>
                <w:highlight w:val="none"/>
              </w:rPr>
              <w:t>台</w:t>
            </w:r>
          </w:p>
        </w:tc>
        <w:tc>
          <w:tcPr>
            <w:tcW w:w="5176" w:type="dxa"/>
            <w:tcBorders>
              <w:top w:val="single" w:color="auto" w:sz="4" w:space="0"/>
              <w:left w:val="single" w:color="auto" w:sz="4" w:space="0"/>
              <w:bottom w:val="single" w:color="auto" w:sz="4" w:space="0"/>
              <w:right w:val="single" w:color="auto" w:sz="4" w:space="0"/>
            </w:tcBorders>
            <w:noWrap w:val="0"/>
            <w:vAlign w:val="center"/>
          </w:tcPr>
          <w:p w14:paraId="4EBE122A">
            <w:pPr>
              <w:rPr>
                <w:rFonts w:ascii="Times New Roman" w:hAnsi="Times New Roman" w:eastAsia="宋体"/>
                <w:b w:val="0"/>
                <w:color w:val="auto"/>
                <w:kern w:val="2"/>
                <w:sz w:val="22"/>
                <w:szCs w:val="22"/>
                <w:highlight w:val="none"/>
              </w:rPr>
            </w:pPr>
            <w:r>
              <w:rPr>
                <w:rFonts w:hint="eastAsia" w:ascii="Times New Roman" w:hAnsi="Times New Roman" w:eastAsia="宋体"/>
                <w:b w:val="0"/>
                <w:color w:val="auto"/>
                <w:kern w:val="2"/>
                <w:sz w:val="22"/>
                <w:szCs w:val="22"/>
                <w:highlight w:val="none"/>
              </w:rPr>
              <w:t>/</w:t>
            </w:r>
          </w:p>
        </w:tc>
        <w:tc>
          <w:tcPr>
            <w:tcW w:w="1216" w:type="dxa"/>
            <w:vMerge w:val="continue"/>
            <w:tcBorders>
              <w:left w:val="single" w:color="auto" w:sz="4" w:space="0"/>
              <w:right w:val="single" w:color="auto" w:sz="4" w:space="0"/>
            </w:tcBorders>
            <w:noWrap w:val="0"/>
            <w:vAlign w:val="center"/>
          </w:tcPr>
          <w:p w14:paraId="0EB33739">
            <w:pPr>
              <w:rPr>
                <w:rFonts w:ascii="Times New Roman" w:hAnsi="Times New Roman" w:eastAsia="宋体"/>
                <w:b w:val="0"/>
                <w:color w:val="auto"/>
                <w:kern w:val="2"/>
                <w:sz w:val="22"/>
                <w:szCs w:val="22"/>
                <w:highlight w:val="none"/>
              </w:rPr>
            </w:pPr>
          </w:p>
        </w:tc>
      </w:tr>
      <w:tr w14:paraId="46B8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0" w:type="dxa"/>
            <w:gridSpan w:val="5"/>
            <w:tcBorders>
              <w:top w:val="single" w:color="auto" w:sz="4" w:space="0"/>
              <w:left w:val="single" w:color="auto" w:sz="4" w:space="0"/>
              <w:bottom w:val="single" w:color="auto" w:sz="4" w:space="0"/>
              <w:right w:val="single" w:color="auto" w:sz="4" w:space="0"/>
            </w:tcBorders>
            <w:noWrap w:val="0"/>
            <w:vAlign w:val="center"/>
          </w:tcPr>
          <w:p w14:paraId="05748898">
            <w:pPr>
              <w:snapToGrid w:val="0"/>
              <w:spacing w:line="400" w:lineRule="exact"/>
              <w:ind w:firstLine="44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1、▲上述各类车辆及设备、维修保养费、车辆年审年检费、保险费、燃料费（油、电费）、材料费（水费、电费等）、保管费由中标人自行承担，驾驶员需有对应的机动车驾驶证。</w:t>
            </w:r>
          </w:p>
          <w:p w14:paraId="12ED43FF">
            <w:pPr>
              <w:snapToGrid w:val="0"/>
              <w:spacing w:line="400" w:lineRule="exact"/>
              <w:ind w:firstLine="44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2、▲本项目投入的环卫作业车辆符合国家相关规定允许的上路要求，非法改装</w:t>
            </w:r>
            <w:r>
              <w:rPr>
                <w:rFonts w:hint="eastAsia" w:ascii="宋体" w:hAnsi="宋体" w:eastAsia="宋体" w:cs="宋体"/>
                <w:b/>
                <w:bCs/>
                <w:color w:val="auto"/>
                <w:sz w:val="22"/>
                <w:szCs w:val="22"/>
                <w:highlight w:val="none"/>
                <w:lang w:eastAsia="zh-CN"/>
              </w:rPr>
              <w:t>车辆</w:t>
            </w:r>
            <w:r>
              <w:rPr>
                <w:rFonts w:hint="eastAsia" w:ascii="宋体" w:hAnsi="宋体" w:eastAsia="宋体" w:cs="宋体"/>
                <w:b/>
                <w:bCs/>
                <w:color w:val="auto"/>
                <w:sz w:val="22"/>
                <w:szCs w:val="22"/>
                <w:highlight w:val="none"/>
              </w:rPr>
              <w:t>不得参与本项目投标及中标使用。</w:t>
            </w:r>
          </w:p>
          <w:p w14:paraId="69E13821">
            <w:pPr>
              <w:snapToGrid w:val="0"/>
              <w:spacing w:line="400" w:lineRule="exact"/>
              <w:ind w:firstLine="44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3、本项目要求中标供应商须具有规范的停车场地，作业车辆统一停放。场地内具有洗车洗轮装备，作业完毕后车辆及时清洗干净入库。</w:t>
            </w:r>
          </w:p>
          <w:p w14:paraId="27C5E7A3">
            <w:pPr>
              <w:snapToGrid w:val="0"/>
              <w:spacing w:line="400" w:lineRule="exact"/>
              <w:ind w:firstLine="44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所有机动车须整洁干净，同一种类车辆颜色标识统一，车身明显处具有中标供应商名称标识及设备编号。机动车、小型冲洗电动车、清扫保洁电动车不得出现吊挂杂物或垃圾袋等影响市容市貌、城市形象的情形。</w:t>
            </w:r>
          </w:p>
          <w:p w14:paraId="604BE31A">
            <w:pPr>
              <w:snapToGrid w:val="0"/>
              <w:spacing w:line="400" w:lineRule="exact"/>
              <w:ind w:firstLine="44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5、所投标机械车辆，须根据投标文件在领取中标通知书7日内向采购人报备。制定机械作业方案报备采购人审定，并严格按照采购人确认的范围、路线、时间进行作业，不得随意变更。</w:t>
            </w:r>
          </w:p>
          <w:p w14:paraId="5B69824B">
            <w:pPr>
              <w:snapToGrid w:val="0"/>
              <w:spacing w:line="400" w:lineRule="exact"/>
              <w:ind w:firstLine="446" w:firstLineChars="200"/>
              <w:rPr>
                <w:rFonts w:ascii="Times New Roman" w:hAnsi="Times New Roman" w:eastAsia="宋体"/>
                <w:b w:val="0"/>
                <w:color w:val="auto"/>
                <w:kern w:val="2"/>
                <w:sz w:val="22"/>
                <w:szCs w:val="22"/>
                <w:highlight w:val="none"/>
              </w:rPr>
            </w:pPr>
            <w:r>
              <w:rPr>
                <w:rFonts w:hint="eastAsia" w:ascii="宋体" w:hAnsi="宋体" w:eastAsia="宋体" w:cs="宋体"/>
                <w:b/>
                <w:bCs/>
                <w:color w:val="auto"/>
                <w:sz w:val="22"/>
                <w:szCs w:val="22"/>
                <w:highlight w:val="none"/>
              </w:rPr>
              <w:t>6、本项目车辆配置为最低要求，供应商须根据项目实际需要，自行增配相关机械车辆，以达到环境卫生质量要求，增配机械、车辆费用不</w:t>
            </w:r>
            <w:r>
              <w:rPr>
                <w:rFonts w:hint="eastAsia" w:ascii="宋体" w:hAnsi="宋体" w:cs="宋体"/>
                <w:b/>
                <w:bCs/>
                <w:color w:val="auto"/>
                <w:sz w:val="22"/>
                <w:szCs w:val="22"/>
                <w:highlight w:val="none"/>
                <w:lang w:eastAsia="zh-CN"/>
              </w:rPr>
              <w:t>做</w:t>
            </w:r>
            <w:r>
              <w:rPr>
                <w:rFonts w:hint="eastAsia" w:ascii="宋体" w:hAnsi="宋体" w:eastAsia="宋体" w:cs="宋体"/>
                <w:b/>
                <w:bCs/>
                <w:color w:val="auto"/>
                <w:sz w:val="22"/>
                <w:szCs w:val="22"/>
                <w:highlight w:val="none"/>
              </w:rPr>
              <w:t>调整，供应商不得以任何理由拖延或拒绝。</w:t>
            </w:r>
          </w:p>
        </w:tc>
      </w:tr>
    </w:tbl>
    <w:p w14:paraId="61AF7CC8">
      <w:pPr>
        <w:pStyle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四、保障环卫作业人员合法权益相关要求</w:t>
      </w:r>
    </w:p>
    <w:p w14:paraId="665D62CF">
      <w:pPr>
        <w:snapToGri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落实环卫作业人员合法权益 </w:t>
      </w:r>
    </w:p>
    <w:p w14:paraId="79890D51">
      <w:pPr>
        <w:snapToGrid w:val="0"/>
        <w:spacing w:line="400" w:lineRule="exact"/>
        <w:ind w:firstLine="446"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（▲本部分要求均为实质性要求，不允许任何负偏离，否则作无效标处理） </w:t>
      </w:r>
    </w:p>
    <w:p w14:paraId="3A3B233D">
      <w:pPr>
        <w:snapToGri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依据《中华人民共和国劳动法》《浙江省人民政府办公厅关于进一步改善环卫工人工作生活条件促进环卫事业持续健康发展的若干意见》（浙政办发〔2009〕190号）《浙江省劳动和社会保障厅、浙江省</w:t>
      </w:r>
      <w:r>
        <w:rPr>
          <w:rFonts w:hint="eastAsia" w:ascii="宋体" w:hAnsi="宋体" w:cs="宋体"/>
          <w:color w:val="auto"/>
          <w:sz w:val="22"/>
          <w:szCs w:val="22"/>
          <w:highlight w:val="none"/>
          <w:lang w:eastAsia="zh-CN"/>
        </w:rPr>
        <w:t>国家税务总局</w:t>
      </w:r>
      <w:r>
        <w:rPr>
          <w:rFonts w:hint="eastAsia" w:ascii="宋体" w:hAnsi="宋体" w:eastAsia="宋体" w:cs="宋体"/>
          <w:color w:val="auto"/>
          <w:sz w:val="22"/>
          <w:szCs w:val="22"/>
          <w:highlight w:val="none"/>
        </w:rPr>
        <w:t xml:space="preserve">、浙江省地方税务局关于调整企业职工夏季防暑降温清凉饮料费标准的通知》（浙人社发〔2014〕94号）《浙江省人民政府关于调整全省最低工资标准的通知》（浙政发〔2021〕22号《全国年节及纪念日放假办法》等相关规定，为落实环卫作业人员的权益，提高环卫保洁服务质量，各投标供应商在聘请人员，编制和落实作业人员待遇及投入生产机具时必须遵照以下要求，否则投标无效； </w:t>
      </w:r>
    </w:p>
    <w:p w14:paraId="3A4CF73C">
      <w:pPr>
        <w:numPr>
          <w:ilvl w:val="0"/>
          <w:numId w:val="2"/>
        </w:numPr>
        <w:snapToGrid w:val="0"/>
        <w:spacing w:line="400" w:lineRule="exact"/>
        <w:ind w:left="0"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依法签订劳动合同。拟投入本项目的所有人员均由中标（成交）供应商自行招聘，所有人员必须依法签订劳动合同，严禁招聘超龄人员、未成年人员以及无自主劳动能力的人员。</w:t>
      </w:r>
    </w:p>
    <w:p w14:paraId="2B2B9B34">
      <w:pPr>
        <w:snapToGrid w:val="0"/>
        <w:spacing w:line="400" w:lineRule="exact"/>
        <w:ind w:left="0"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2.依法为所有人员缴纳社会保障； </w:t>
      </w:r>
    </w:p>
    <w:p w14:paraId="7D687881">
      <w:pPr>
        <w:snapToGri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3.依法为所有人员投保人身意外伤害险，保额不得低于100万/人； </w:t>
      </w:r>
    </w:p>
    <w:p w14:paraId="45EC2193">
      <w:pPr>
        <w:snapToGri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4.严格落实所有人员每月最低收入标准，人员每月最低基本工资标准不得低于法定标准。垃圾分类员工工资不列入最低基本工资标准要求，工作时间</w:t>
      </w:r>
      <w:r>
        <w:rPr>
          <w:rFonts w:hint="eastAsia" w:ascii="宋体" w:hAnsi="宋体" w:cs="宋体"/>
          <w:color w:val="auto"/>
          <w:sz w:val="22"/>
          <w:szCs w:val="22"/>
          <w:highlight w:val="none"/>
          <w:lang w:eastAsia="zh-CN"/>
        </w:rPr>
        <w:t>4～5小时。</w:t>
      </w:r>
    </w:p>
    <w:p w14:paraId="3B2B64A2">
      <w:pPr>
        <w:snapToGri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5.严格执行户外作业人员高温补贴标准。高温补贴标准不得低于法定标准，发放时间为六、七、八、九共四个月，逐月发放，不得克扣。</w:t>
      </w:r>
    </w:p>
    <w:p w14:paraId="3A7A5B7F">
      <w:pPr>
        <w:snapToGri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6.严格落实加班补贴制度。国家法定节假日全年11天计，法定节假日加班补贴标准为日工资的三倍计算。</w:t>
      </w:r>
    </w:p>
    <w:p w14:paraId="5105FAA0">
      <w:pPr>
        <w:snapToGri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7.统一发放生产工具及劳保用品。 </w:t>
      </w:r>
    </w:p>
    <w:p w14:paraId="0AE8A534">
      <w:pPr>
        <w:snapToGri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8.统一购置并发放符合安全标准的反光工作服（夏装两套、冬装一套、雨天工作服一套）、雨鞋（一双）、反光背心一件； </w:t>
      </w:r>
    </w:p>
    <w:p w14:paraId="63BB07BF">
      <w:pPr>
        <w:snapToGri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9.严禁拖欠及克扣人员工资、待遇福利的行为，一经查实，由采购人双倍追罚，追罚款在承包款中直接扣除；中标（成交）供应商应设立专人负责作业人员的收入落实，加强管理。</w:t>
      </w:r>
    </w:p>
    <w:p w14:paraId="3A9558C6">
      <w:pPr>
        <w:snapToGrid w:val="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10.其他未尽事宜，各投标供应商应参照各项规定进行。</w:t>
      </w:r>
    </w:p>
    <w:p w14:paraId="36DC8EB6">
      <w:pPr>
        <w:autoSpaceDE w:val="0"/>
        <w:autoSpaceDN w:val="0"/>
        <w:adjustRightInd w:val="0"/>
        <w:spacing w:line="400" w:lineRule="exact"/>
        <w:ind w:firstLine="446" w:firstLineChars="200"/>
        <w:jc w:val="left"/>
        <w:rPr>
          <w:rFonts w:ascii="宋体" w:cs="宋体"/>
          <w:b/>
          <w:color w:val="auto"/>
          <w:sz w:val="22"/>
          <w:szCs w:val="22"/>
          <w:highlight w:val="none"/>
        </w:rPr>
      </w:pPr>
      <w:r>
        <w:rPr>
          <w:rFonts w:hint="eastAsia" w:ascii="宋体" w:cs="宋体"/>
          <w:b/>
          <w:color w:val="auto"/>
          <w:sz w:val="22"/>
          <w:szCs w:val="22"/>
          <w:highlight w:val="none"/>
        </w:rPr>
        <w:t>五、</w:t>
      </w:r>
      <w:bookmarkStart w:id="5" w:name="_Toc411166783"/>
      <w:bookmarkStart w:id="6" w:name="_Toc413201523"/>
      <w:r>
        <w:rPr>
          <w:rFonts w:hint="eastAsia" w:ascii="宋体" w:cs="宋体"/>
          <w:b/>
          <w:color w:val="auto"/>
          <w:sz w:val="22"/>
          <w:szCs w:val="22"/>
          <w:highlight w:val="none"/>
        </w:rPr>
        <w:t>其他特别要求及说明</w:t>
      </w:r>
      <w:bookmarkEnd w:id="5"/>
      <w:bookmarkEnd w:id="6"/>
    </w:p>
    <w:p w14:paraId="1E2B44CD">
      <w:pPr>
        <w:spacing w:line="400" w:lineRule="exact"/>
        <w:ind w:firstLine="446" w:firstLineChars="200"/>
        <w:jc w:val="left"/>
        <w:rPr>
          <w:rFonts w:ascii="宋体" w:cs="宋体"/>
          <w:b/>
          <w:bCs/>
          <w:color w:val="auto"/>
          <w:sz w:val="22"/>
          <w:szCs w:val="22"/>
          <w:highlight w:val="none"/>
        </w:rPr>
      </w:pPr>
      <w:r>
        <w:rPr>
          <w:rFonts w:hint="eastAsia" w:ascii="宋体" w:cs="宋体"/>
          <w:b/>
          <w:bCs/>
          <w:color w:val="auto"/>
          <w:sz w:val="22"/>
          <w:szCs w:val="22"/>
          <w:highlight w:val="none"/>
        </w:rPr>
        <w:t>（▲本部分要求均为实质性要求，任何负偏离都将作无效标处理）</w:t>
      </w:r>
    </w:p>
    <w:p w14:paraId="19D15C67">
      <w:pPr>
        <w:spacing w:line="400" w:lineRule="exact"/>
        <w:ind w:firstLine="446" w:firstLineChars="200"/>
        <w:rPr>
          <w:rFonts w:ascii="宋体" w:cs="宋体"/>
          <w:color w:val="auto"/>
          <w:sz w:val="22"/>
          <w:szCs w:val="22"/>
          <w:highlight w:val="none"/>
        </w:rPr>
      </w:pPr>
      <w:r>
        <w:rPr>
          <w:rFonts w:ascii="宋体" w:cs="宋体"/>
          <w:color w:val="auto"/>
          <w:sz w:val="22"/>
          <w:szCs w:val="22"/>
          <w:highlight w:val="none"/>
        </w:rPr>
        <w:t>1.</w:t>
      </w:r>
      <w:r>
        <w:rPr>
          <w:rFonts w:hint="eastAsia" w:ascii="宋体" w:cs="宋体"/>
          <w:color w:val="auto"/>
          <w:sz w:val="22"/>
          <w:szCs w:val="22"/>
          <w:highlight w:val="none"/>
        </w:rPr>
        <w:t>合同期内</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所属人员、车辆（包括</w:t>
      </w:r>
      <w:r>
        <w:rPr>
          <w:rFonts w:hint="eastAsia" w:ascii="宋体" w:cs="宋体"/>
          <w:color w:val="auto"/>
          <w:sz w:val="22"/>
          <w:szCs w:val="22"/>
          <w:highlight w:val="none"/>
          <w:lang w:val="en-US" w:eastAsia="zh-CN"/>
        </w:rPr>
        <w:t>采购人</w:t>
      </w:r>
      <w:r>
        <w:rPr>
          <w:rFonts w:hint="eastAsia" w:ascii="宋体" w:cs="宋体"/>
          <w:color w:val="auto"/>
          <w:sz w:val="22"/>
          <w:szCs w:val="22"/>
          <w:highlight w:val="none"/>
        </w:rPr>
        <w:t>提供给</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在此项目使用运行车辆）如发生各种意外事故（包括给第三方造成损害）全部责任由</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承担，依照法律法规妥善处理。</w:t>
      </w:r>
    </w:p>
    <w:p w14:paraId="1378425B">
      <w:pPr>
        <w:spacing w:line="400" w:lineRule="exact"/>
        <w:ind w:firstLine="446" w:firstLineChars="200"/>
        <w:rPr>
          <w:rFonts w:ascii="宋体" w:cs="宋体"/>
          <w:color w:val="auto"/>
          <w:sz w:val="22"/>
          <w:szCs w:val="22"/>
          <w:highlight w:val="none"/>
        </w:rPr>
      </w:pPr>
      <w:r>
        <w:rPr>
          <w:rFonts w:ascii="宋体" w:cs="宋体"/>
          <w:color w:val="auto"/>
          <w:sz w:val="22"/>
          <w:szCs w:val="22"/>
          <w:highlight w:val="none"/>
        </w:rPr>
        <w:t>2.</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针对本次项目所投入的人员办公、住宿用房以及车辆、工具的停放场地均由投标人自行负责，并在合同签订前落实并向采购人提供场地设置及落实方案。</w:t>
      </w:r>
    </w:p>
    <w:p w14:paraId="7779CE9D">
      <w:pPr>
        <w:spacing w:line="400" w:lineRule="exact"/>
        <w:ind w:firstLine="446" w:firstLineChars="200"/>
        <w:rPr>
          <w:rFonts w:ascii="宋体" w:cs="宋体"/>
          <w:color w:val="auto"/>
          <w:sz w:val="22"/>
          <w:szCs w:val="22"/>
          <w:highlight w:val="none"/>
        </w:rPr>
      </w:pPr>
      <w:r>
        <w:rPr>
          <w:rFonts w:ascii="宋体" w:cs="宋体"/>
          <w:color w:val="auto"/>
          <w:sz w:val="22"/>
          <w:szCs w:val="22"/>
          <w:highlight w:val="none"/>
        </w:rPr>
        <w:t>3.</w:t>
      </w:r>
      <w:r>
        <w:rPr>
          <w:rFonts w:hint="eastAsia" w:ascii="宋体" w:cs="宋体"/>
          <w:color w:val="auto"/>
          <w:sz w:val="22"/>
          <w:szCs w:val="22"/>
          <w:highlight w:val="none"/>
        </w:rPr>
        <w:t>投标前，各投标单位应自行</w:t>
      </w:r>
      <w:r>
        <w:rPr>
          <w:rFonts w:hint="eastAsia" w:ascii="宋体" w:cs="宋体"/>
          <w:color w:val="auto"/>
          <w:sz w:val="22"/>
          <w:szCs w:val="22"/>
          <w:highlight w:val="none"/>
          <w:lang w:eastAsia="zh-CN"/>
        </w:rPr>
        <w:t>勘查现场</w:t>
      </w:r>
      <w:r>
        <w:rPr>
          <w:rFonts w:hint="eastAsia" w:ascii="宋体" w:cs="宋体"/>
          <w:color w:val="auto"/>
          <w:sz w:val="22"/>
          <w:szCs w:val="22"/>
          <w:highlight w:val="none"/>
        </w:rPr>
        <w:t>，以获取制定各种方案所需的现场勘查资料。</w:t>
      </w:r>
    </w:p>
    <w:p w14:paraId="7CED74CD">
      <w:pPr>
        <w:spacing w:line="400" w:lineRule="exact"/>
        <w:ind w:firstLine="446" w:firstLineChars="200"/>
        <w:rPr>
          <w:rFonts w:ascii="宋体" w:cs="宋体"/>
          <w:color w:val="auto"/>
          <w:sz w:val="22"/>
          <w:szCs w:val="22"/>
          <w:highlight w:val="none"/>
        </w:rPr>
      </w:pPr>
      <w:r>
        <w:rPr>
          <w:rFonts w:hint="eastAsia" w:ascii="宋体" w:cs="宋体"/>
          <w:color w:val="auto"/>
          <w:sz w:val="22"/>
          <w:szCs w:val="22"/>
          <w:highlight w:val="none"/>
        </w:rPr>
        <w:t>4</w:t>
      </w:r>
      <w:r>
        <w:rPr>
          <w:rFonts w:ascii="宋体" w:cs="宋体"/>
          <w:color w:val="auto"/>
          <w:sz w:val="22"/>
          <w:szCs w:val="22"/>
          <w:highlight w:val="none"/>
        </w:rPr>
        <w:t>.</w:t>
      </w:r>
      <w:r>
        <w:rPr>
          <w:rFonts w:hint="eastAsia" w:ascii="宋体" w:cs="宋体"/>
          <w:color w:val="auto"/>
          <w:sz w:val="22"/>
          <w:szCs w:val="22"/>
          <w:highlight w:val="none"/>
        </w:rPr>
        <w:t>本项目采取统一包干制（总价包干）。合同执行期间，如有新增区域需要纳入保洁范围，采购人将参考本次招标价格并以补充协议的方式与</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签订补充合同。除此以外，任何情况采购人不再追加任何费用。</w:t>
      </w:r>
    </w:p>
    <w:p w14:paraId="1E26399A">
      <w:pPr>
        <w:spacing w:line="400" w:lineRule="exact"/>
        <w:ind w:firstLine="446" w:firstLineChars="200"/>
        <w:rPr>
          <w:rFonts w:ascii="宋体" w:cs="宋体"/>
          <w:color w:val="auto"/>
          <w:sz w:val="22"/>
          <w:szCs w:val="22"/>
          <w:highlight w:val="none"/>
        </w:rPr>
      </w:pPr>
      <w:r>
        <w:rPr>
          <w:rFonts w:hint="eastAsia" w:ascii="宋体" w:cs="宋体"/>
          <w:color w:val="auto"/>
          <w:sz w:val="22"/>
          <w:szCs w:val="22"/>
          <w:highlight w:val="none"/>
        </w:rPr>
        <w:t>5</w:t>
      </w:r>
      <w:r>
        <w:rPr>
          <w:rFonts w:ascii="宋体" w:cs="宋体"/>
          <w:color w:val="auto"/>
          <w:sz w:val="22"/>
          <w:szCs w:val="22"/>
          <w:highlight w:val="none"/>
        </w:rPr>
        <w:t>.</w:t>
      </w:r>
      <w:r>
        <w:rPr>
          <w:rFonts w:hint="eastAsia" w:ascii="宋体" w:cs="宋体"/>
          <w:color w:val="auto"/>
          <w:sz w:val="22"/>
          <w:szCs w:val="22"/>
          <w:highlight w:val="none"/>
        </w:rPr>
        <w:t>合同执行期间，遇有国家政策性最低工资调整或养老保险或人身意外险调整，投标人必须及时做出相应调整。该风险由投标人自行考虑，包含在投标总价内，采购人不再单独追加。</w:t>
      </w:r>
    </w:p>
    <w:p w14:paraId="603CD0BE">
      <w:pPr>
        <w:spacing w:line="400" w:lineRule="exact"/>
        <w:ind w:firstLine="446" w:firstLineChars="200"/>
        <w:rPr>
          <w:rFonts w:ascii="宋体" w:cs="宋体"/>
          <w:color w:val="auto"/>
          <w:sz w:val="22"/>
          <w:szCs w:val="22"/>
          <w:highlight w:val="none"/>
        </w:rPr>
      </w:pPr>
      <w:r>
        <w:rPr>
          <w:rFonts w:hint="eastAsia" w:ascii="宋体" w:cs="宋体"/>
          <w:color w:val="auto"/>
          <w:sz w:val="22"/>
          <w:szCs w:val="22"/>
          <w:highlight w:val="none"/>
        </w:rPr>
        <w:t>6</w:t>
      </w:r>
      <w:r>
        <w:rPr>
          <w:rFonts w:ascii="宋体" w:cs="宋体"/>
          <w:color w:val="auto"/>
          <w:sz w:val="22"/>
          <w:szCs w:val="22"/>
          <w:highlight w:val="none"/>
        </w:rPr>
        <w:t>.</w:t>
      </w:r>
      <w:r>
        <w:rPr>
          <w:rFonts w:hint="eastAsia" w:ascii="宋体" w:cs="宋体"/>
          <w:color w:val="auto"/>
          <w:sz w:val="22"/>
          <w:szCs w:val="22"/>
          <w:highlight w:val="none"/>
        </w:rPr>
        <w:t>投标人中标后应在规定的期限内向采购人提供有实力履行合同的证明文件，包括人员落实情况，生产机具落实情况，生产场地落实情况，企业内部管理方案等，并缴纳履约保证金（中标金额的1</w:t>
      </w:r>
      <w:r>
        <w:rPr>
          <w:rFonts w:ascii="宋体" w:cs="宋体"/>
          <w:color w:val="auto"/>
          <w:sz w:val="22"/>
          <w:szCs w:val="22"/>
          <w:highlight w:val="none"/>
        </w:rPr>
        <w:t>%</w:t>
      </w:r>
      <w:r>
        <w:rPr>
          <w:rFonts w:hint="eastAsia" w:ascii="宋体" w:cs="宋体"/>
          <w:color w:val="auto"/>
          <w:sz w:val="22"/>
          <w:szCs w:val="22"/>
          <w:highlight w:val="none"/>
        </w:rPr>
        <w:t>）。</w:t>
      </w:r>
    </w:p>
    <w:p w14:paraId="1790B568">
      <w:pPr>
        <w:spacing w:line="400" w:lineRule="exact"/>
        <w:ind w:firstLine="446" w:firstLineChars="200"/>
        <w:rPr>
          <w:rFonts w:ascii="宋体" w:cs="宋体"/>
          <w:color w:val="auto"/>
          <w:sz w:val="22"/>
          <w:szCs w:val="22"/>
          <w:highlight w:val="none"/>
        </w:rPr>
      </w:pPr>
      <w:r>
        <w:rPr>
          <w:rFonts w:hint="eastAsia" w:ascii="宋体" w:cs="宋体"/>
          <w:color w:val="auto"/>
          <w:sz w:val="22"/>
          <w:szCs w:val="22"/>
          <w:highlight w:val="none"/>
        </w:rPr>
        <w:t>7</w:t>
      </w:r>
      <w:r>
        <w:rPr>
          <w:rFonts w:ascii="宋体" w:cs="宋体"/>
          <w:color w:val="auto"/>
          <w:sz w:val="22"/>
          <w:szCs w:val="22"/>
          <w:highlight w:val="none"/>
        </w:rPr>
        <w:t>.</w:t>
      </w:r>
      <w:r>
        <w:rPr>
          <w:rFonts w:hint="eastAsia" w:ascii="宋体" w:cs="宋体"/>
          <w:color w:val="auto"/>
          <w:sz w:val="22"/>
          <w:szCs w:val="22"/>
          <w:highlight w:val="none"/>
        </w:rPr>
        <w:t>中标（成交）供应商签订承包合同后，其人员和设备必须在收到采购人进场通知后</w:t>
      </w:r>
      <w:r>
        <w:rPr>
          <w:rFonts w:ascii="宋体" w:cs="宋体"/>
          <w:color w:val="auto"/>
          <w:sz w:val="22"/>
          <w:szCs w:val="22"/>
          <w:highlight w:val="none"/>
        </w:rPr>
        <w:t>10</w:t>
      </w:r>
      <w:r>
        <w:rPr>
          <w:rFonts w:hint="eastAsia" w:ascii="宋体" w:cs="宋体"/>
          <w:color w:val="auto"/>
          <w:sz w:val="22"/>
          <w:szCs w:val="22"/>
          <w:highlight w:val="none"/>
        </w:rPr>
        <w:t>日内进场并完成交接，否则采购人有权终止承包合同并没罚全部履约保证金，采购人不承担一切责任。</w:t>
      </w:r>
    </w:p>
    <w:p w14:paraId="4B786FFA">
      <w:pPr>
        <w:spacing w:line="400" w:lineRule="exact"/>
        <w:ind w:firstLine="446" w:firstLineChars="200"/>
        <w:rPr>
          <w:rFonts w:ascii="宋体" w:cs="宋体"/>
          <w:color w:val="auto"/>
          <w:sz w:val="22"/>
          <w:szCs w:val="22"/>
          <w:highlight w:val="none"/>
        </w:rPr>
      </w:pPr>
      <w:r>
        <w:rPr>
          <w:rFonts w:hint="eastAsia" w:ascii="宋体" w:cs="宋体"/>
          <w:color w:val="auto"/>
          <w:sz w:val="22"/>
          <w:szCs w:val="22"/>
          <w:highlight w:val="none"/>
        </w:rPr>
        <w:t>8</w:t>
      </w:r>
      <w:r>
        <w:rPr>
          <w:rFonts w:ascii="宋体" w:cs="宋体"/>
          <w:color w:val="auto"/>
          <w:sz w:val="22"/>
          <w:szCs w:val="22"/>
          <w:highlight w:val="none"/>
        </w:rPr>
        <w:t>.</w:t>
      </w:r>
      <w:r>
        <w:rPr>
          <w:rFonts w:hint="eastAsia" w:ascii="宋体" w:cs="宋体"/>
          <w:color w:val="auto"/>
          <w:sz w:val="22"/>
          <w:szCs w:val="22"/>
          <w:highlight w:val="none"/>
        </w:rPr>
        <w:t>合同期间，</w:t>
      </w:r>
      <w:r>
        <w:rPr>
          <w:rFonts w:hint="eastAsia" w:ascii="宋体" w:cs="宋体"/>
          <w:color w:val="auto"/>
          <w:sz w:val="22"/>
          <w:szCs w:val="22"/>
          <w:highlight w:val="none"/>
          <w:lang w:eastAsia="zh-CN"/>
        </w:rPr>
        <w:t>中标（成交）供应商</w:t>
      </w:r>
      <w:r>
        <w:rPr>
          <w:rFonts w:hint="eastAsia" w:ascii="宋体" w:cs="宋体"/>
          <w:color w:val="auto"/>
          <w:sz w:val="22"/>
          <w:szCs w:val="22"/>
          <w:highlight w:val="none"/>
        </w:rPr>
        <w:t>必须无条件配合采购人及其他相关政府部门的环境卫生等相关宣传治理工作。</w:t>
      </w:r>
    </w:p>
    <w:p w14:paraId="7B57DD5A">
      <w:pPr>
        <w:spacing w:line="400" w:lineRule="exact"/>
        <w:ind w:firstLine="446" w:firstLineChars="200"/>
        <w:rPr>
          <w:rFonts w:hint="eastAsia"/>
          <w:color w:val="auto"/>
          <w:sz w:val="22"/>
          <w:szCs w:val="22"/>
          <w:highlight w:val="none"/>
        </w:rPr>
      </w:pPr>
      <w:r>
        <w:rPr>
          <w:rFonts w:hint="eastAsia" w:ascii="宋体" w:cs="宋体"/>
          <w:color w:val="auto"/>
          <w:sz w:val="22"/>
          <w:szCs w:val="22"/>
          <w:highlight w:val="none"/>
          <w:lang w:val="en-US" w:eastAsia="zh-CN"/>
        </w:rPr>
        <w:t>9</w:t>
      </w:r>
      <w:r>
        <w:rPr>
          <w:rFonts w:ascii="宋体" w:cs="宋体"/>
          <w:color w:val="auto"/>
          <w:sz w:val="22"/>
          <w:szCs w:val="22"/>
          <w:highlight w:val="none"/>
        </w:rPr>
        <w:t>.</w:t>
      </w:r>
      <w:r>
        <w:rPr>
          <w:rFonts w:hint="eastAsia" w:ascii="宋体" w:cs="宋体"/>
          <w:color w:val="auto"/>
          <w:sz w:val="22"/>
          <w:szCs w:val="22"/>
          <w:highlight w:val="none"/>
        </w:rPr>
        <w:t>如相关部</w:t>
      </w:r>
      <w:r>
        <w:rPr>
          <w:rFonts w:hint="eastAsia" w:ascii="宋体" w:cs="宋体"/>
          <w:color w:val="auto"/>
          <w:sz w:val="22"/>
          <w:szCs w:val="22"/>
          <w:highlight w:val="none"/>
          <w:lang w:eastAsia="zh-CN"/>
        </w:rPr>
        <w:t>门在</w:t>
      </w:r>
      <w:r>
        <w:rPr>
          <w:rFonts w:hint="eastAsia" w:ascii="宋体" w:cs="宋体"/>
          <w:color w:val="auto"/>
          <w:sz w:val="22"/>
          <w:szCs w:val="22"/>
          <w:highlight w:val="none"/>
        </w:rPr>
        <w:t>不定期巡查中被曝光并要求整改的，采购人对中标方按曝光次数和地点每次</w:t>
      </w:r>
      <w:r>
        <w:rPr>
          <w:rFonts w:ascii="宋体" w:cs="宋体"/>
          <w:color w:val="auto"/>
          <w:sz w:val="22"/>
          <w:szCs w:val="22"/>
          <w:highlight w:val="none"/>
        </w:rPr>
        <w:t>2000</w:t>
      </w:r>
      <w:r>
        <w:rPr>
          <w:rFonts w:hint="eastAsia" w:ascii="宋体" w:cs="宋体"/>
          <w:color w:val="auto"/>
          <w:sz w:val="22"/>
          <w:szCs w:val="22"/>
          <w:highlight w:val="none"/>
        </w:rPr>
        <w:t>元进行累计扣款。</w:t>
      </w:r>
    </w:p>
    <w:p w14:paraId="21D419F4">
      <w:pPr>
        <w:spacing w:line="400" w:lineRule="exact"/>
        <w:ind w:firstLine="446" w:firstLineChars="200"/>
        <w:rPr>
          <w:rFonts w:ascii="宋体" w:cs="宋体"/>
          <w:bCs/>
          <w:color w:val="auto"/>
          <w:sz w:val="22"/>
          <w:szCs w:val="22"/>
          <w:highlight w:val="none"/>
        </w:rPr>
      </w:pPr>
      <w:r>
        <w:rPr>
          <w:rFonts w:hint="eastAsia" w:ascii="宋体" w:cs="宋体"/>
          <w:b/>
          <w:color w:val="auto"/>
          <w:sz w:val="22"/>
          <w:szCs w:val="22"/>
          <w:highlight w:val="none"/>
          <w:lang w:val="en-US" w:eastAsia="zh-CN"/>
        </w:rPr>
        <w:t>六</w:t>
      </w:r>
      <w:r>
        <w:rPr>
          <w:rFonts w:hint="eastAsia" w:ascii="宋体" w:cs="宋体"/>
          <w:b/>
          <w:color w:val="auto"/>
          <w:sz w:val="22"/>
          <w:szCs w:val="22"/>
          <w:highlight w:val="none"/>
        </w:rPr>
        <w:t>、商务条款</w:t>
      </w:r>
    </w:p>
    <w:p w14:paraId="4C4AA07D">
      <w:pPr>
        <w:spacing w:line="400" w:lineRule="exact"/>
        <w:ind w:firstLine="446" w:firstLineChars="200"/>
        <w:rPr>
          <w:rFonts w:ascii="宋体" w:cs="宋体"/>
          <w:color w:val="auto"/>
          <w:sz w:val="22"/>
          <w:szCs w:val="22"/>
          <w:highlight w:val="none"/>
        </w:rPr>
      </w:pPr>
      <w:r>
        <w:rPr>
          <w:rFonts w:ascii="宋体" w:cs="宋体"/>
          <w:color w:val="auto"/>
          <w:sz w:val="22"/>
          <w:szCs w:val="22"/>
          <w:highlight w:val="none"/>
        </w:rPr>
        <w:t>1.</w:t>
      </w:r>
      <w:r>
        <w:rPr>
          <w:rFonts w:hint="eastAsia" w:ascii="宋体" w:cs="宋体"/>
          <w:color w:val="auto"/>
          <w:sz w:val="22"/>
          <w:szCs w:val="22"/>
          <w:highlight w:val="none"/>
        </w:rPr>
        <w:t>服务期限：</w:t>
      </w:r>
      <w:r>
        <w:rPr>
          <w:rFonts w:hint="eastAsia"/>
          <w:color w:val="auto"/>
          <w:sz w:val="22"/>
          <w:szCs w:val="22"/>
          <w:highlight w:val="none"/>
          <w:u w:val="none"/>
          <w:lang w:val="en-US" w:eastAsia="zh-CN"/>
        </w:rPr>
        <w:t>自合同签订之日起一年。</w:t>
      </w:r>
    </w:p>
    <w:p w14:paraId="4B2728FD">
      <w:pPr>
        <w:spacing w:line="400" w:lineRule="exact"/>
        <w:ind w:right="20" w:firstLine="446" w:firstLineChars="200"/>
        <w:jc w:val="left"/>
        <w:rPr>
          <w:rFonts w:hint="eastAsia" w:ascii="宋体" w:cs="宋体"/>
          <w:b/>
          <w:color w:val="auto"/>
          <w:sz w:val="22"/>
          <w:szCs w:val="22"/>
          <w:highlight w:val="none"/>
        </w:rPr>
      </w:pPr>
      <w:r>
        <w:rPr>
          <w:rFonts w:hint="eastAsia" w:ascii="宋体" w:cs="宋体"/>
          <w:color w:val="auto"/>
          <w:sz w:val="22"/>
          <w:szCs w:val="22"/>
          <w:highlight w:val="none"/>
          <w:lang w:val="en-US" w:eastAsia="zh-CN"/>
        </w:rPr>
        <w:t>2</w:t>
      </w:r>
      <w:r>
        <w:rPr>
          <w:rFonts w:ascii="宋体" w:cs="宋体"/>
          <w:color w:val="auto"/>
          <w:sz w:val="22"/>
          <w:szCs w:val="22"/>
          <w:highlight w:val="none"/>
        </w:rPr>
        <w:t>.</w:t>
      </w:r>
      <w:r>
        <w:rPr>
          <w:rFonts w:hint="eastAsia" w:ascii="宋体" w:cs="宋体"/>
          <w:color w:val="auto"/>
          <w:sz w:val="22"/>
          <w:szCs w:val="22"/>
          <w:highlight w:val="none"/>
        </w:rPr>
        <w:t>付款方式：按季度支付，采用后付原则，由采购人根据考核奖罚情况（该季度结束后次月</w:t>
      </w:r>
      <w:r>
        <w:rPr>
          <w:rFonts w:ascii="宋体" w:cs="宋体"/>
          <w:color w:val="auto"/>
          <w:sz w:val="22"/>
          <w:szCs w:val="22"/>
          <w:highlight w:val="none"/>
        </w:rPr>
        <w:t>8</w:t>
      </w:r>
      <w:r>
        <w:rPr>
          <w:rFonts w:hint="eastAsia" w:ascii="宋体" w:cs="宋体"/>
          <w:color w:val="auto"/>
          <w:sz w:val="22"/>
          <w:szCs w:val="22"/>
          <w:highlight w:val="none"/>
        </w:rPr>
        <w:t>日前汇总）增减后，于该季度考核结束后由供应商提交发票后7个工作日内支付资金。</w:t>
      </w:r>
    </w:p>
    <w:p w14:paraId="50FD666D">
      <w:pPr>
        <w:pStyle w:val="32"/>
        <w:ind w:firstLine="223" w:firstLineChars="100"/>
        <w:rPr>
          <w:rFonts w:hint="eastAsia" w:ascii="宋体" w:hAnsi="宋体" w:eastAsia="宋体" w:cs="宋体"/>
          <w:b/>
          <w:color w:val="auto"/>
          <w:sz w:val="22"/>
          <w:szCs w:val="22"/>
          <w:highlight w:val="none"/>
        </w:rPr>
      </w:pPr>
      <w:r>
        <w:rPr>
          <w:rFonts w:hint="eastAsia" w:ascii="宋体" w:cs="宋体"/>
          <w:b/>
          <w:color w:val="auto"/>
          <w:sz w:val="22"/>
          <w:szCs w:val="22"/>
          <w:highlight w:val="none"/>
        </w:rPr>
        <w:t>七、考核管理办法（试行）及奖惩措施</w:t>
      </w:r>
      <w:r>
        <w:rPr>
          <w:rFonts w:hint="eastAsia" w:ascii="宋体" w:cs="宋体"/>
          <w:bCs/>
          <w:color w:val="auto"/>
          <w:sz w:val="22"/>
          <w:szCs w:val="22"/>
          <w:highlight w:val="none"/>
        </w:rPr>
        <w:t>：</w:t>
      </w:r>
      <w:r>
        <w:rPr>
          <w:rFonts w:hint="eastAsia" w:ascii="宋体" w:cs="宋体"/>
          <w:b/>
          <w:bCs w:val="0"/>
          <w:color w:val="auto"/>
          <w:sz w:val="22"/>
          <w:szCs w:val="22"/>
          <w:highlight w:val="none"/>
        </w:rPr>
        <w:t>见本部分附件。</w:t>
      </w:r>
    </w:p>
    <w:p w14:paraId="500FB62A">
      <w:pPr>
        <w:spacing w:line="400" w:lineRule="exact"/>
        <w:jc w:val="left"/>
        <w:rPr>
          <w:rFonts w:hint="eastAsia" w:ascii="宋体" w:hAnsi="宋体" w:eastAsia="宋体" w:cs="Times New Roman"/>
          <w:b/>
          <w:bCs/>
          <w:color w:val="auto"/>
          <w:sz w:val="28"/>
          <w:szCs w:val="28"/>
          <w:highlight w:val="none"/>
          <w:lang w:eastAsia="zh-CN"/>
        </w:rPr>
      </w:pPr>
    </w:p>
    <w:p w14:paraId="615241DA">
      <w:pPr>
        <w:spacing w:line="400" w:lineRule="exact"/>
        <w:jc w:val="left"/>
        <w:rPr>
          <w:rFonts w:hint="eastAsia" w:ascii="宋体" w:hAnsi="宋体" w:eastAsia="宋体" w:cs="Times New Roman"/>
          <w:b/>
          <w:bCs/>
          <w:color w:val="auto"/>
          <w:sz w:val="28"/>
          <w:szCs w:val="28"/>
          <w:highlight w:val="none"/>
          <w:lang w:eastAsia="zh-CN"/>
        </w:rPr>
      </w:pPr>
      <w:r>
        <w:rPr>
          <w:rFonts w:hint="eastAsia" w:ascii="宋体" w:hAnsi="宋体" w:eastAsia="宋体" w:cs="Times New Roman"/>
          <w:b/>
          <w:bCs/>
          <w:color w:val="auto"/>
          <w:sz w:val="28"/>
          <w:szCs w:val="28"/>
          <w:highlight w:val="none"/>
          <w:lang w:eastAsia="zh-CN"/>
        </w:rPr>
        <w:t>附件：</w:t>
      </w:r>
    </w:p>
    <w:p w14:paraId="25774962">
      <w:pPr>
        <w:spacing w:line="400" w:lineRule="exact"/>
        <w:jc w:val="center"/>
        <w:rPr>
          <w:rFonts w:ascii="宋体" w:hAnsi="宋体" w:eastAsia="宋体" w:cs="宋体"/>
          <w:color w:val="auto"/>
          <w:kern w:val="0"/>
          <w:sz w:val="28"/>
          <w:szCs w:val="28"/>
          <w:highlight w:val="none"/>
        </w:rPr>
      </w:pPr>
      <w:r>
        <w:rPr>
          <w:rFonts w:hint="eastAsia" w:ascii="宋体" w:hAnsi="宋体" w:eastAsia="宋体" w:cs="Times New Roman"/>
          <w:b/>
          <w:bCs/>
          <w:color w:val="auto"/>
          <w:sz w:val="28"/>
          <w:szCs w:val="28"/>
          <w:highlight w:val="none"/>
          <w:lang w:eastAsia="zh-CN"/>
        </w:rPr>
        <w:t>泰顺县包垟乡环卫保洁服务</w:t>
      </w:r>
      <w:r>
        <w:rPr>
          <w:rFonts w:hint="eastAsia" w:ascii="宋体" w:hAnsi="宋体" w:eastAsia="宋体" w:cs="宋体"/>
          <w:b/>
          <w:color w:val="auto"/>
          <w:kern w:val="0"/>
          <w:sz w:val="28"/>
          <w:szCs w:val="28"/>
          <w:highlight w:val="none"/>
        </w:rPr>
        <w:t>管理办法（试行）</w:t>
      </w:r>
    </w:p>
    <w:p w14:paraId="776AFD1C">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为切实提高</w:t>
      </w:r>
      <w:r>
        <w:rPr>
          <w:rFonts w:hint="eastAsia" w:ascii="宋体" w:hAnsi="宋体" w:eastAsia="宋体" w:cs="宋体"/>
          <w:color w:val="auto"/>
          <w:kern w:val="0"/>
          <w:sz w:val="22"/>
          <w:szCs w:val="22"/>
          <w:highlight w:val="none"/>
          <w:lang w:eastAsia="zh-CN"/>
        </w:rPr>
        <w:t>泰顺县包垟乡环卫保洁服务</w:t>
      </w:r>
      <w:r>
        <w:rPr>
          <w:rFonts w:hint="eastAsia" w:ascii="宋体" w:hAnsi="宋体" w:eastAsia="宋体" w:cs="宋体"/>
          <w:color w:val="auto"/>
          <w:kern w:val="0"/>
          <w:sz w:val="22"/>
          <w:szCs w:val="22"/>
          <w:highlight w:val="none"/>
        </w:rPr>
        <w:t>管理质量，加强环境卫生保洁的长效管理机制，不断改善环境卫生，提升镇生态、人居，山清、水秀乡村环境品位，依据客观、公开、公平、公正的原则，结合实际情况，特制定本考核办法（试行）。</w:t>
      </w:r>
    </w:p>
    <w:p w14:paraId="73F4D8C2">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一、考核对象：</w:t>
      </w:r>
      <w:r>
        <w:rPr>
          <w:rFonts w:hint="eastAsia" w:ascii="宋体" w:hAnsi="宋体" w:eastAsia="宋体" w:cs="宋体"/>
          <w:color w:val="auto"/>
          <w:kern w:val="0"/>
          <w:sz w:val="22"/>
          <w:szCs w:val="22"/>
          <w:highlight w:val="none"/>
        </w:rPr>
        <w:t>本次中标（成交）供应商。</w:t>
      </w:r>
    </w:p>
    <w:p w14:paraId="5CEEBFC8">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二、考核范围：</w:t>
      </w:r>
      <w:r>
        <w:rPr>
          <w:rFonts w:hint="eastAsia" w:ascii="宋体" w:hAnsi="宋体" w:eastAsia="宋体" w:cs="宋体"/>
          <w:color w:val="auto"/>
          <w:kern w:val="0"/>
          <w:sz w:val="22"/>
          <w:szCs w:val="22"/>
          <w:highlight w:val="none"/>
        </w:rPr>
        <w:t>合同约定的服务范围。</w:t>
      </w:r>
    </w:p>
    <w:p w14:paraId="6C6007D3">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三、考核内容</w:t>
      </w:r>
      <w:r>
        <w:rPr>
          <w:rFonts w:ascii="宋体" w:hAnsi="宋体" w:eastAsia="宋体" w:cs="宋体"/>
          <w:b/>
          <w:color w:val="auto"/>
          <w:kern w:val="0"/>
          <w:sz w:val="22"/>
          <w:szCs w:val="22"/>
          <w:highlight w:val="none"/>
        </w:rPr>
        <w:t>:</w:t>
      </w:r>
      <w:r>
        <w:rPr>
          <w:rFonts w:hint="eastAsia" w:ascii="宋体" w:hAnsi="宋体" w:eastAsia="宋体" w:cs="宋体"/>
          <w:color w:val="auto"/>
          <w:kern w:val="0"/>
          <w:sz w:val="22"/>
          <w:szCs w:val="22"/>
          <w:highlight w:val="none"/>
        </w:rPr>
        <w:t>质量考核内容包括</w:t>
      </w:r>
      <w:r>
        <w:rPr>
          <w:rFonts w:hint="eastAsia" w:ascii="宋体" w:hAnsi="宋体" w:cs="宋体"/>
          <w:color w:val="auto"/>
          <w:kern w:val="0"/>
          <w:sz w:val="22"/>
          <w:szCs w:val="22"/>
          <w:highlight w:val="none"/>
          <w:lang w:val="en-US" w:eastAsia="zh-CN"/>
        </w:rPr>
        <w:t>七</w:t>
      </w:r>
      <w:r>
        <w:rPr>
          <w:rFonts w:hint="eastAsia" w:ascii="宋体" w:hAnsi="宋体" w:eastAsia="宋体" w:cs="宋体"/>
          <w:color w:val="auto"/>
          <w:kern w:val="0"/>
          <w:sz w:val="22"/>
          <w:szCs w:val="22"/>
          <w:highlight w:val="none"/>
        </w:rPr>
        <w:t>大项，分别为：作业质量、规范作业、环卫设施维护、垃圾收集与清运、垃圾分类宣传管理、公司管理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突</w:t>
      </w:r>
      <w:r>
        <w:rPr>
          <w:rFonts w:hint="eastAsia" w:ascii="宋体" w:hAnsi="宋体" w:cs="宋体"/>
          <w:color w:val="auto"/>
          <w:kern w:val="0"/>
          <w:sz w:val="22"/>
          <w:szCs w:val="22"/>
          <w:highlight w:val="none"/>
          <w:lang w:eastAsia="zh-CN"/>
        </w:rPr>
        <w:t>发性处置管理</w:t>
      </w:r>
      <w:r>
        <w:rPr>
          <w:rFonts w:hint="eastAsia" w:ascii="宋体" w:hAnsi="宋体" w:eastAsia="宋体" w:cs="宋体"/>
          <w:color w:val="auto"/>
          <w:kern w:val="0"/>
          <w:sz w:val="22"/>
          <w:szCs w:val="22"/>
          <w:highlight w:val="none"/>
        </w:rPr>
        <w:t>。</w:t>
      </w:r>
    </w:p>
    <w:p w14:paraId="58407FA7">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四、考核要求</w:t>
      </w:r>
    </w:p>
    <w:p w14:paraId="44F90B24">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道路洁净</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服务标准和质量要求</w:t>
      </w:r>
    </w:p>
    <w:p w14:paraId="3D5CA3E1">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路面垃圾必须日产日清，不留卫生死角，做到“七无、五净、二保持、二不准”。</w:t>
      </w:r>
    </w:p>
    <w:p w14:paraId="39FA0C53">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“七无”包括：无杂物；无果皮壳；无纸屑、烟蒂、塑料袋；无淤泥积土；无污水；无堵塞窨井沟眼；无卫生死角。</w:t>
      </w:r>
    </w:p>
    <w:p w14:paraId="44B2AC1C">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“五净”包括：路面、路牙净，窨井沟眼净，树穴净，边角净，花坛周围净。</w:t>
      </w:r>
    </w:p>
    <w:p w14:paraId="23B2C232">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“二保持”包括：作业人员保持着装整齐（按省定标准），作业机具、道路两旁的果壳箱保持经常性整洁；</w:t>
      </w:r>
    </w:p>
    <w:p w14:paraId="2ACB31FA">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“二不准”包括：不准在路旁或河旁乱倒垃圾、不准有垃圾在垃圾箱中过夜存放</w:t>
      </w:r>
      <w:r>
        <w:rPr>
          <w:rFonts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rPr>
        <w:t>箱内的垃圾应日产日清。</w:t>
      </w:r>
    </w:p>
    <w:p w14:paraId="693D62EC">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所有区域每日实行普扫和保洁。</w:t>
      </w:r>
    </w:p>
    <w:p w14:paraId="48172DAB">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片区可视范围内所有道路（包含辖区内公路）、民房周围（屋前屋后）公共区域、其他建筑物周围公共区域、开放式小区、菜市场、公共厕所、河道边上、村民居委会办公楼周围、学校周围等日常普扫每日两次，第一次普扫原则上在夏季</w:t>
      </w: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时、冬季</w:t>
      </w: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时</w:t>
      </w:r>
      <w:r>
        <w:rPr>
          <w:rFonts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rPr>
        <w:t>分以前完成，第二次普扫原则上在</w:t>
      </w:r>
      <w:r>
        <w:rPr>
          <w:rFonts w:ascii="宋体" w:hAnsi="宋体" w:eastAsia="宋体" w:cs="宋体"/>
          <w:color w:val="auto"/>
          <w:kern w:val="0"/>
          <w:sz w:val="22"/>
          <w:szCs w:val="22"/>
          <w:highlight w:val="none"/>
        </w:rPr>
        <w:t>16:</w:t>
      </w:r>
      <w:r>
        <w:rPr>
          <w:rFonts w:hint="eastAsia" w:ascii="宋体" w:hAnsi="宋体" w:cs="宋体"/>
          <w:color w:val="auto"/>
          <w:kern w:val="0"/>
          <w:sz w:val="22"/>
          <w:szCs w:val="22"/>
          <w:highlight w:val="none"/>
          <w:lang w:eastAsia="zh-CN"/>
        </w:rPr>
        <w:t>30</w:t>
      </w:r>
      <w:r>
        <w:rPr>
          <w:rFonts w:hint="eastAsia" w:ascii="宋体" w:hAnsi="宋体" w:eastAsia="宋体" w:cs="宋体"/>
          <w:color w:val="auto"/>
          <w:kern w:val="0"/>
          <w:sz w:val="22"/>
          <w:szCs w:val="22"/>
          <w:highlight w:val="none"/>
        </w:rPr>
        <w:t>前完成；其中菜市场、村民居委会办公楼周围、学校周围等人员密集地要做好</w:t>
      </w: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个小时清洁。保洁作业所收集的垃圾统一归纳至附近垃圾桶内，由垃圾清运人员及车辆统一运输至采购人指定垃圾中转站（注</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道路外延</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米在保洁范围内，保洁时间特殊路段由采购人合理制定是否有增加）。特殊的时期（比如临时检查、节假日等）中标人要配合采购人按采购人要求进行清扫工作。</w:t>
      </w:r>
    </w:p>
    <w:p w14:paraId="304749DF">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）普扫的卫生标准达到“五无</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五净”的标准。即无果皮纸屑、无土石杂草、无积水积泥、无痰迹烟蒂、无堆积物，路面干净、道路绿地树圈干净、边角侧石干净、窨井盖沟槽畅通干净、果壳箱等环卫设施整齐干净。</w:t>
      </w:r>
    </w:p>
    <w:p w14:paraId="0E02675B">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垃圾桶、清扫机具等环卫设施的清掏、清洗、防损、防盗和维护</w:t>
      </w:r>
      <w:r>
        <w:rPr>
          <w:rFonts w:hint="eastAsia" w:ascii="宋体" w:hAnsi="宋体" w:eastAsia="宋体" w:cs="宋体"/>
          <w:color w:val="auto"/>
          <w:kern w:val="0"/>
          <w:sz w:val="22"/>
          <w:szCs w:val="22"/>
          <w:highlight w:val="none"/>
          <w:lang w:val="en-US" w:eastAsia="zh-CN"/>
        </w:rPr>
        <w:t>更换</w:t>
      </w:r>
      <w:r>
        <w:rPr>
          <w:rFonts w:hint="eastAsia" w:ascii="宋体" w:hAnsi="宋体" w:eastAsia="宋体" w:cs="宋体"/>
          <w:color w:val="auto"/>
          <w:kern w:val="0"/>
          <w:sz w:val="22"/>
          <w:szCs w:val="22"/>
          <w:highlight w:val="none"/>
        </w:rPr>
        <w:t>。</w:t>
      </w:r>
    </w:p>
    <w:p w14:paraId="0507B97F">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）垃圾桶、果壳箱、垃圾收集车等环卫设施应每周至少清洗一次，每日保持外观整洁，无破损；所有垃圾容器应做到无敞门、无污垢，桶内垃圾日产日清，不过夜、不溢满，禁止环卫工人在桶内翻捡废品；</w:t>
      </w:r>
    </w:p>
    <w:p w14:paraId="748C2578">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）承包范围内所有垃圾桶（箱）</w:t>
      </w:r>
      <w:r>
        <w:rPr>
          <w:rFonts w:hint="eastAsia" w:ascii="宋体" w:hAnsi="宋体" w:eastAsia="宋体" w:cs="宋体"/>
          <w:color w:val="auto"/>
          <w:kern w:val="0"/>
          <w:sz w:val="22"/>
          <w:szCs w:val="22"/>
          <w:highlight w:val="none"/>
          <w:lang w:eastAsia="zh-CN"/>
        </w:rPr>
        <w:t>中标</w:t>
      </w:r>
      <w:r>
        <w:rPr>
          <w:rFonts w:hint="eastAsia" w:ascii="宋体" w:hAnsi="宋体" w:eastAsia="宋体" w:cs="宋体"/>
          <w:color w:val="auto"/>
          <w:kern w:val="0"/>
          <w:sz w:val="22"/>
          <w:szCs w:val="22"/>
          <w:highlight w:val="none"/>
          <w:lang w:val="en-US" w:eastAsia="zh-CN"/>
        </w:rPr>
        <w:t>供应商</w:t>
      </w:r>
      <w:r>
        <w:rPr>
          <w:rFonts w:hint="eastAsia" w:ascii="宋体" w:hAnsi="宋体" w:eastAsia="宋体" w:cs="宋体"/>
          <w:color w:val="auto"/>
          <w:kern w:val="0"/>
          <w:sz w:val="22"/>
          <w:szCs w:val="22"/>
          <w:highlight w:val="none"/>
        </w:rPr>
        <w:t>统一投放。合同期间，中标人必须做好所有垃圾桶（箱）的防损防盗</w:t>
      </w:r>
      <w:r>
        <w:rPr>
          <w:rFonts w:hint="eastAsia" w:ascii="宋体" w:hAnsi="宋体" w:eastAsia="宋体" w:cs="宋体"/>
          <w:color w:val="auto"/>
          <w:kern w:val="0"/>
          <w:sz w:val="22"/>
          <w:szCs w:val="22"/>
          <w:highlight w:val="none"/>
          <w:lang w:val="en-US" w:eastAsia="zh-CN"/>
        </w:rPr>
        <w:t>和破损更换</w:t>
      </w:r>
      <w:r>
        <w:rPr>
          <w:rFonts w:hint="eastAsia" w:ascii="宋体" w:hAnsi="宋体" w:eastAsia="宋体" w:cs="宋体"/>
          <w:color w:val="auto"/>
          <w:kern w:val="0"/>
          <w:sz w:val="22"/>
          <w:szCs w:val="22"/>
          <w:highlight w:val="none"/>
        </w:rPr>
        <w:t>工作。</w:t>
      </w:r>
    </w:p>
    <w:p w14:paraId="3FC9A78C">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主次道路（含车行道、人行道）高压冲洗每星期不少于</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次，作业时间为晚上或清晨。冲洗后由采购人进行验收（路面见本色），并无条件服从采购人整改要求；采购人要求冲洗市场等其他区域时中标方应无条件服从。</w:t>
      </w:r>
    </w:p>
    <w:p w14:paraId="43B97E1D">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垃圾清运</w:t>
      </w:r>
      <w:r>
        <w:rPr>
          <w:rFonts w:hint="eastAsia" w:ascii="宋体" w:hAnsi="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服务标准和质量要求</w:t>
      </w:r>
    </w:p>
    <w:p w14:paraId="56808796">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垃圾清运应符合下列质量要求：</w:t>
      </w:r>
      <w:r>
        <w:rPr>
          <w:rFonts w:ascii="宋体" w:hAnsi="宋体" w:eastAsia="宋体" w:cs="宋体"/>
          <w:color w:val="auto"/>
          <w:kern w:val="0"/>
          <w:sz w:val="22"/>
          <w:szCs w:val="22"/>
          <w:highlight w:val="none"/>
        </w:rPr>
        <w:t xml:space="preserve"> </w:t>
      </w:r>
    </w:p>
    <w:p w14:paraId="68A9562D">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）所有垃圾堆放点的垃圾每日早晚各清运一次，运至采购人指定垃圾中转站。上午须在</w:t>
      </w: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时</w:t>
      </w:r>
      <w:r>
        <w:rPr>
          <w:rFonts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rPr>
        <w:t>分前完成，下午须在</w:t>
      </w:r>
      <w:r>
        <w:rPr>
          <w:rFonts w:ascii="宋体" w:hAnsi="宋体" w:eastAsia="宋体" w:cs="宋体"/>
          <w:color w:val="auto"/>
          <w:kern w:val="0"/>
          <w:sz w:val="22"/>
          <w:szCs w:val="22"/>
          <w:highlight w:val="none"/>
        </w:rPr>
        <w:t>18</w:t>
      </w:r>
      <w:r>
        <w:rPr>
          <w:rFonts w:hint="eastAsia" w:ascii="宋体" w:hAnsi="宋体" w:eastAsia="宋体" w:cs="宋体"/>
          <w:color w:val="auto"/>
          <w:kern w:val="0"/>
          <w:sz w:val="22"/>
          <w:szCs w:val="22"/>
          <w:highlight w:val="none"/>
        </w:rPr>
        <w:t>时前完成。</w:t>
      </w:r>
    </w:p>
    <w:p w14:paraId="27F41A0B">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）垃圾堆放点内外场地应整洁，无撒落垃圾和堆积杂物，无积留污水。</w:t>
      </w:r>
      <w:r>
        <w:rPr>
          <w:rFonts w:ascii="宋体" w:hAnsi="宋体" w:eastAsia="宋体" w:cs="宋体"/>
          <w:color w:val="auto"/>
          <w:kern w:val="0"/>
          <w:sz w:val="22"/>
          <w:szCs w:val="22"/>
          <w:highlight w:val="none"/>
        </w:rPr>
        <w:t xml:space="preserve"> </w:t>
      </w:r>
    </w:p>
    <w:p w14:paraId="496DB007">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）垃圾堆放点内无恶臭，墙壁、窗户应无积尘、蛛网。</w:t>
      </w:r>
    </w:p>
    <w:p w14:paraId="79034FE3">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）垃圾堆放点内垃圾装运容器应整洁，无积垢，无吊挂垃圾。</w:t>
      </w:r>
    </w:p>
    <w:p w14:paraId="1B1200F4">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）蚊蝇</w:t>
      </w:r>
      <w:r>
        <w:rPr>
          <w:rFonts w:hint="eastAsia" w:ascii="宋体" w:hAnsi="宋体" w:cs="宋体"/>
          <w:color w:val="auto"/>
          <w:kern w:val="0"/>
          <w:sz w:val="22"/>
          <w:szCs w:val="22"/>
          <w:highlight w:val="none"/>
          <w:lang w:eastAsia="zh-CN"/>
        </w:rPr>
        <w:t>滋生</w:t>
      </w:r>
      <w:r>
        <w:rPr>
          <w:rFonts w:hint="eastAsia" w:ascii="宋体" w:hAnsi="宋体" w:eastAsia="宋体" w:cs="宋体"/>
          <w:color w:val="auto"/>
          <w:kern w:val="0"/>
          <w:sz w:val="22"/>
          <w:szCs w:val="22"/>
          <w:highlight w:val="none"/>
        </w:rPr>
        <w:t>季节，应每天喷药灭蚊蝇，无恶臭。</w:t>
      </w:r>
    </w:p>
    <w:p w14:paraId="08E9CAAE">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）垃圾日产日清，垃圾桶和垃圾房内垃圾不得过夜搁置。</w:t>
      </w:r>
    </w:p>
    <w:p w14:paraId="2CFB7D98">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垃圾收集清运车辆运输垃圾应符合下列质量要求：</w:t>
      </w:r>
    </w:p>
    <w:p w14:paraId="46EEF833">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）车容应整洁，车体外部无污物、灰垢，标志应清晰。</w:t>
      </w:r>
    </w:p>
    <w:p w14:paraId="52898DA3">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）运输垃圾应密闭，在运输过程中无垃圾扬、撒、拖挂和污水滴漏。</w:t>
      </w:r>
    </w:p>
    <w:p w14:paraId="66B43DC6">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）垃圾装运量应以车辆的额定荷载和有效容积为限，不得超重、超高运输。</w:t>
      </w:r>
    </w:p>
    <w:p w14:paraId="61752292">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）装卸垃圾应符合作业要求，不得乱倒、乱卸、乱抛垃圾。</w:t>
      </w:r>
    </w:p>
    <w:p w14:paraId="6FD9AE5A">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）运输作业结</w:t>
      </w:r>
      <w:r>
        <w:rPr>
          <w:rFonts w:hint="eastAsia" w:ascii="宋体" w:hAnsi="宋体" w:cs="宋体"/>
          <w:color w:val="auto"/>
          <w:kern w:val="0"/>
          <w:sz w:val="22"/>
          <w:szCs w:val="22"/>
          <w:highlight w:val="none"/>
          <w:lang w:eastAsia="zh-CN"/>
        </w:rPr>
        <w:t>束后</w:t>
      </w:r>
      <w:r>
        <w:rPr>
          <w:rFonts w:hint="eastAsia" w:ascii="宋体" w:hAnsi="宋体" w:eastAsia="宋体" w:cs="宋体"/>
          <w:color w:val="auto"/>
          <w:kern w:val="0"/>
          <w:sz w:val="22"/>
          <w:szCs w:val="22"/>
          <w:highlight w:val="none"/>
        </w:rPr>
        <w:t>，应将车辆清洗干净。</w:t>
      </w:r>
    </w:p>
    <w:p w14:paraId="31E08CFD">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（三）规范作业</w:t>
      </w:r>
    </w:p>
    <w:p w14:paraId="13453179">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环境卫生作业人员工作期间不得无故缺岗、离岗，不得迟到早退，不得消极怠工，不得酒后作业；不得集聚闲聊，工期休息单次不得超过</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分钟；不做与作业无关的事；不得捡拾、买卖废品；</w:t>
      </w:r>
    </w:p>
    <w:p w14:paraId="55114EB4">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保洁人员应文明作业，不得将垃圾、污水扫到、溅到行人或乘客身上，不得将垃圾堆放或停留在路面上，不得将垃圾扫入或倒入窨井、绿地、河道等处，不得焚烧垃圾，必须运送至指定地点；清扫作业中不得漏扫、甩扫。</w:t>
      </w:r>
      <w:r>
        <w:rPr>
          <w:rFonts w:ascii="宋体" w:hAnsi="宋体" w:eastAsia="宋体" w:cs="宋体"/>
          <w:color w:val="auto"/>
          <w:kern w:val="0"/>
          <w:sz w:val="22"/>
          <w:szCs w:val="22"/>
          <w:highlight w:val="none"/>
        </w:rPr>
        <w:t xml:space="preserve"> </w:t>
      </w:r>
    </w:p>
    <w:p w14:paraId="6B1F60E8">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收集车标志应清晰，保持外观清洁，每日清洗后方可上路；垃圾装运量应以车辆的额定荷载和有效容积为限，不得超重、超高超速运输，不得悬挂杂物，装卸垃圾应符合作业要求，不得乱倒、乱卸、乱抛、焚烧垃圾。</w:t>
      </w:r>
    </w:p>
    <w:p w14:paraId="439B3CC1">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垃圾清运完毕，应打扫周边环境，做到人走地净。</w:t>
      </w:r>
    </w:p>
    <w:p w14:paraId="53BFFFCC">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垃圾收集车辆应经常检查，及时发现排除故障，不得带故障运行；所有车辆停放必须遵守交通法规。</w:t>
      </w:r>
    </w:p>
    <w:p w14:paraId="18E3107E">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清扫保洁应根据业主的要求和自身实际作业标准建立相关台账，车辆做好车辆使用记录。</w:t>
      </w:r>
    </w:p>
    <w:p w14:paraId="35E5FB41">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作业人员必须穿着反光安全工作服、佩证上岗（证件上须附有人员照片、人员姓名、清扫路段等信息）；道路保洁作业时，应按车行线反方向清扫，保洁车辆停放应地点适宜，不能太靠近车行线，车容应整洁；作业期间，人员必须衣冠整洁，不得穿拖鞋上岗。</w:t>
      </w:r>
    </w:p>
    <w:p w14:paraId="7D535CF7">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清扫保洁时间内，保洁人员应文明作业，不得将垃圾、污水扫到、溅到行人身上，禁止将垃圾堆放或停留在窨井盖上，禁止将垃圾扫入或倒入窨井、道路绿地、河道等处，清扫作业期间不得漏扫、甩扫；垃圾直接清运至地点，不得中途转运垃圾，不得焚烧垃圾，各村居垃圾日产日清。</w:t>
      </w:r>
    </w:p>
    <w:p w14:paraId="5F572DD7">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rPr>
        <w:t>其他要求：遇有重大活动或突发事件，及时组织力量做好清扫保洁等保障工作，及时听从业主的指挥和调度；每年</w:t>
      </w:r>
      <w:r>
        <w:rPr>
          <w:rFonts w:ascii="宋体" w:hAnsi="宋体" w:eastAsia="宋体" w:cs="宋体"/>
          <w:color w:val="auto"/>
          <w:kern w:val="0"/>
          <w:sz w:val="22"/>
          <w:szCs w:val="22"/>
          <w:highlight w:val="none"/>
        </w:rPr>
        <w:t>6-9</w:t>
      </w:r>
      <w:r>
        <w:rPr>
          <w:rFonts w:hint="eastAsia" w:ascii="宋体" w:hAnsi="宋体" w:eastAsia="宋体" w:cs="宋体"/>
          <w:color w:val="auto"/>
          <w:kern w:val="0"/>
          <w:sz w:val="22"/>
          <w:szCs w:val="22"/>
          <w:highlight w:val="none"/>
        </w:rPr>
        <w:t>月份清扫保洁时间相应延长两小时；遇有不可抗力因素，</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应无条件配合业主做好村居环境卫生保洁和垃圾清运工作。</w:t>
      </w:r>
    </w:p>
    <w:p w14:paraId="4DA2BAFC">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（四）环境卫生规范管理要求</w:t>
      </w:r>
    </w:p>
    <w:p w14:paraId="3C73174E">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规范作业人员岗位职责管理，与作业人员签订岗位职责承诺书，制作作业人员花名册，标明人员姓名（照片）、岗位、负责区域、工作时段等信息，花名册彩色刊印提交采购人考核时核对。</w:t>
      </w:r>
    </w:p>
    <w:p w14:paraId="2DCAC7F4">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制定详细的作业方案以及应急作业预案；制定企业内部管理方案（包括：服务质量规范及内部考核制度、人员奖惩制度、安全生产及文明生产保障措施、应急方案、环境保护措施等），确保所有工作稳步进行。方案调整应及时上报采购人，经批准后方可执行。</w:t>
      </w:r>
    </w:p>
    <w:p w14:paraId="19BA167B">
      <w:pPr>
        <w:tabs>
          <w:tab w:val="left" w:pos="4899"/>
        </w:tabs>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加强内部作业管理，合同期内</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应加强作业管理，加强安全作业控制，项目管理人员应跟班作业，加强</w:t>
      </w:r>
      <w:r>
        <w:rPr>
          <w:rFonts w:hint="eastAsia" w:ascii="宋体" w:hAnsi="宋体" w:eastAsia="宋体" w:cs="宋体"/>
          <w:color w:val="auto"/>
          <w:kern w:val="0"/>
          <w:sz w:val="22"/>
          <w:szCs w:val="22"/>
          <w:highlight w:val="none"/>
          <w:lang w:val="en-US" w:eastAsia="zh-CN"/>
        </w:rPr>
        <w:t>承包区</w:t>
      </w:r>
      <w:r>
        <w:rPr>
          <w:rFonts w:hint="eastAsia" w:ascii="宋体" w:hAnsi="宋体" w:eastAsia="宋体" w:cs="宋体"/>
          <w:color w:val="auto"/>
          <w:kern w:val="0"/>
          <w:sz w:val="22"/>
          <w:szCs w:val="22"/>
          <w:highlight w:val="none"/>
        </w:rPr>
        <w:t>内保洁巡视，做好巡视记录，每天检查员工清扫保洁及垃圾清运的时间、任务量等日常工作。</w:t>
      </w:r>
    </w:p>
    <w:p w14:paraId="5D4A1FFC">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建立并规范作业台账，按规定建立规范、详细的养护作业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，做好养护工作量日报、月报及年报，按时上报各类报表并协助调查、解决来电来信来访等问题。</w:t>
      </w:r>
    </w:p>
    <w:p w14:paraId="72A41D9B">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严格落实一线作业人员年龄结构，提升服务质量，本次项目所需的作业人员均由</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招聘，所招聘的人员必须在合理年龄以内，优化作业人员年龄结构。</w:t>
      </w:r>
    </w:p>
    <w:p w14:paraId="10DC466A">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加强作业人员安全作业、文明作业教育。</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应定期组织所有一线作业人员进行安全文明作业教育，不断提升一线作业人员的业务能力。新入作业人员应安排合理的培训，以确保每个投入一线工作的作业人员具备合格的作业能力。</w:t>
      </w:r>
    </w:p>
    <w:p w14:paraId="7025D468">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加强作业车辆管理，</w:t>
      </w:r>
      <w:r>
        <w:rPr>
          <w:rFonts w:hint="eastAsia" w:ascii="宋体" w:hAnsi="宋体" w:cs="宋体"/>
          <w:color w:val="auto"/>
          <w:kern w:val="0"/>
          <w:sz w:val="22"/>
          <w:szCs w:val="22"/>
          <w:highlight w:val="none"/>
          <w:lang w:eastAsia="zh-CN"/>
        </w:rPr>
        <w:t>中标（成交）供应商</w:t>
      </w:r>
      <w:r>
        <w:rPr>
          <w:rFonts w:hint="eastAsia" w:ascii="宋体" w:hAnsi="宋体" w:eastAsia="宋体" w:cs="宋体"/>
          <w:color w:val="auto"/>
          <w:kern w:val="0"/>
          <w:sz w:val="22"/>
          <w:szCs w:val="22"/>
          <w:highlight w:val="none"/>
        </w:rPr>
        <w:t>应加强作业车辆的日常管理，确保专车专用，遵守交通规则，文明行驶，安全行驶</w:t>
      </w:r>
    </w:p>
    <w:p w14:paraId="251E9865">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五、考核方式与方法</w:t>
      </w:r>
    </w:p>
    <w:p w14:paraId="16D06D82">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（一）定分</w:t>
      </w:r>
      <w:r>
        <w:rPr>
          <w:rFonts w:hint="eastAsia" w:ascii="宋体" w:hAnsi="宋体" w:cs="宋体"/>
          <w:b/>
          <w:color w:val="auto"/>
          <w:kern w:val="0"/>
          <w:sz w:val="22"/>
          <w:szCs w:val="22"/>
          <w:highlight w:val="none"/>
          <w:lang w:eastAsia="zh-CN"/>
        </w:rPr>
        <w:t>：</w:t>
      </w:r>
      <w:r>
        <w:rPr>
          <w:rFonts w:hint="eastAsia" w:ascii="宋体" w:hAnsi="宋体" w:eastAsia="宋体" w:cs="宋体"/>
          <w:color w:val="auto"/>
          <w:kern w:val="0"/>
          <w:sz w:val="22"/>
          <w:szCs w:val="22"/>
          <w:highlight w:val="none"/>
        </w:rPr>
        <w:t>考核成绩每次满分为</w:t>
      </w:r>
      <w:r>
        <w:rPr>
          <w:rFonts w:ascii="宋体" w:hAnsi="宋体" w:eastAsia="宋体" w:cs="宋体"/>
          <w:color w:val="auto"/>
          <w:kern w:val="0"/>
          <w:sz w:val="22"/>
          <w:szCs w:val="22"/>
          <w:highlight w:val="none"/>
        </w:rPr>
        <w:t>100</w:t>
      </w:r>
      <w:r>
        <w:rPr>
          <w:rFonts w:hint="eastAsia" w:ascii="宋体" w:hAnsi="宋体" w:eastAsia="宋体" w:cs="宋体"/>
          <w:color w:val="auto"/>
          <w:kern w:val="0"/>
          <w:sz w:val="22"/>
          <w:szCs w:val="22"/>
          <w:highlight w:val="none"/>
        </w:rPr>
        <w:t>分。</w:t>
      </w:r>
    </w:p>
    <w:p w14:paraId="0E4CB60D">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（二）检查方式</w:t>
      </w:r>
    </w:p>
    <w:p w14:paraId="72DEF9F2">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检查方式分为日常检查和不定期检查，由采购单位组织考核和监督；</w:t>
      </w:r>
    </w:p>
    <w:p w14:paraId="02683041">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日常检查每日不超过</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次；不定期抽查每月不少于</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w:t>
      </w:r>
    </w:p>
    <w:p w14:paraId="1A4DD6A5">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（三）检查计分</w:t>
      </w:r>
    </w:p>
    <w:p w14:paraId="73EF5389">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当月检查考核分数以当月检查考核计分的平均值为准。</w:t>
      </w:r>
    </w:p>
    <w:p w14:paraId="42C5FE13">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（四）评分标准：</w:t>
      </w:r>
    </w:p>
    <w:p w14:paraId="57ADCCD1">
      <w:pPr>
        <w:spacing w:line="400" w:lineRule="exact"/>
        <w:ind w:firstLine="44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A</w:t>
      </w:r>
      <w:r>
        <w:rPr>
          <w:rFonts w:hint="eastAsia" w:ascii="宋体" w:hAnsi="宋体" w:eastAsia="宋体" w:cs="宋体"/>
          <w:b/>
          <w:color w:val="auto"/>
          <w:kern w:val="0"/>
          <w:sz w:val="22"/>
          <w:szCs w:val="22"/>
          <w:highlight w:val="none"/>
        </w:rPr>
        <w:t>、洁净服务：</w:t>
      </w:r>
    </w:p>
    <w:p w14:paraId="6FAA4FBD">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未及时完成普扫的或垃圾清运的，每人（岗位）扣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36322BD">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保洁时间未达到要求的每人每次扣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7EA97AC">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普扫质量未达到标准的以</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EC9CEE2">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卫生死角发现一处扣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686DC63">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零星散落发现以</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4655B2F2">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连续散落</w:t>
      </w:r>
      <w:r>
        <w:rPr>
          <w:rFonts w:hint="eastAsia" w:ascii="宋体" w:hAnsi="宋体" w:cs="宋体"/>
          <w:color w:val="auto"/>
          <w:kern w:val="0"/>
          <w:sz w:val="22"/>
          <w:szCs w:val="22"/>
          <w:highlight w:val="none"/>
          <w:lang w:eastAsia="zh-CN"/>
        </w:rPr>
        <w:t>超过</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平方米为单位一处扣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1F7BAED">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散落垃圾一堆扣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8E5C8D6">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8.</w:t>
      </w:r>
      <w:r>
        <w:rPr>
          <w:rFonts w:hint="eastAsia" w:ascii="宋体" w:hAnsi="宋体" w:eastAsia="宋体" w:cs="宋体"/>
          <w:color w:val="auto"/>
          <w:kern w:val="0"/>
          <w:sz w:val="22"/>
          <w:szCs w:val="22"/>
          <w:highlight w:val="none"/>
        </w:rPr>
        <w:t>袋装垃圾一堆扣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923A5B3">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rPr>
        <w:t>果壳箱未及时清洗加盖、关门发现一次扣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6226E432">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人行道、步阶等杂草、杂物发现一次扣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07925BA6">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11.</w:t>
      </w:r>
      <w:r>
        <w:rPr>
          <w:rFonts w:hint="eastAsia" w:ascii="宋体" w:hAnsi="宋体" w:eastAsia="宋体" w:cs="宋体"/>
          <w:color w:val="auto"/>
          <w:kern w:val="0"/>
          <w:sz w:val="22"/>
          <w:szCs w:val="22"/>
          <w:highlight w:val="none"/>
        </w:rPr>
        <w:t>污水或蚊蝇孳生地发现一次扣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B87D0A5">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12.</w:t>
      </w:r>
      <w:r>
        <w:rPr>
          <w:rFonts w:hint="eastAsia" w:ascii="宋体" w:hAnsi="宋体" w:eastAsia="宋体" w:cs="宋体"/>
          <w:color w:val="auto"/>
          <w:kern w:val="0"/>
          <w:sz w:val="22"/>
          <w:szCs w:val="22"/>
          <w:highlight w:val="none"/>
        </w:rPr>
        <w:t>路两旁及隔离护栏下积淤泥每</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米扣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5E2C9B3">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13.</w:t>
      </w:r>
      <w:r>
        <w:rPr>
          <w:rFonts w:hint="eastAsia" w:ascii="宋体" w:hAnsi="宋体" w:eastAsia="宋体" w:cs="宋体"/>
          <w:color w:val="auto"/>
          <w:kern w:val="0"/>
          <w:sz w:val="22"/>
          <w:szCs w:val="22"/>
          <w:highlight w:val="none"/>
        </w:rPr>
        <w:t>垃圾扫入窨井、花坛、绿化带查证属实的一次扣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14470EED">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14.</w:t>
      </w:r>
      <w:r>
        <w:rPr>
          <w:rFonts w:hint="eastAsia" w:ascii="宋体" w:hAnsi="宋体" w:eastAsia="宋体" w:cs="宋体"/>
          <w:color w:val="auto"/>
          <w:kern w:val="0"/>
          <w:sz w:val="22"/>
          <w:szCs w:val="22"/>
          <w:highlight w:val="none"/>
        </w:rPr>
        <w:t>交接班时出现空档或交接处清扫未过界</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米的发现一次扣</w:t>
      </w:r>
      <w:r>
        <w:rPr>
          <w:rFonts w:ascii="宋体" w:hAnsi="宋体" w:eastAsia="宋体" w:cs="宋体"/>
          <w:color w:val="auto"/>
          <w:kern w:val="0"/>
          <w:sz w:val="22"/>
          <w:szCs w:val="22"/>
          <w:highlight w:val="none"/>
        </w:rPr>
        <w:t xml:space="preserve">1 </w:t>
      </w:r>
      <w:r>
        <w:rPr>
          <w:rFonts w:hint="eastAsia" w:ascii="宋体" w:hAnsi="宋体" w:eastAsia="宋体" w:cs="宋体"/>
          <w:color w:val="auto"/>
          <w:kern w:val="0"/>
          <w:sz w:val="22"/>
          <w:szCs w:val="22"/>
          <w:highlight w:val="none"/>
        </w:rPr>
        <w:t>分；</w:t>
      </w:r>
    </w:p>
    <w:p w14:paraId="378B6836">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15.</w:t>
      </w:r>
      <w:r>
        <w:rPr>
          <w:rFonts w:hint="eastAsia" w:ascii="宋体" w:hAnsi="宋体" w:eastAsia="宋体" w:cs="宋体"/>
          <w:color w:val="auto"/>
          <w:kern w:val="0"/>
          <w:sz w:val="22"/>
          <w:szCs w:val="22"/>
          <w:highlight w:val="none"/>
        </w:rPr>
        <w:t>果壳箱内垃圾过满未及时清理的扣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33233C0F">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16.</w:t>
      </w:r>
      <w:r>
        <w:rPr>
          <w:rFonts w:hint="eastAsia" w:ascii="宋体" w:hAnsi="宋体" w:eastAsia="宋体" w:cs="宋体"/>
          <w:color w:val="auto"/>
          <w:kern w:val="0"/>
          <w:sz w:val="22"/>
          <w:szCs w:val="22"/>
          <w:highlight w:val="none"/>
        </w:rPr>
        <w:t>作业车辆不文明行驶、停放、不遵守交通规则的每次扣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56D49219">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17.</w:t>
      </w:r>
      <w:r>
        <w:rPr>
          <w:rFonts w:hint="eastAsia" w:ascii="宋体" w:hAnsi="宋体" w:eastAsia="宋体" w:cs="宋体"/>
          <w:color w:val="auto"/>
          <w:kern w:val="0"/>
          <w:sz w:val="22"/>
          <w:szCs w:val="22"/>
          <w:highlight w:val="none"/>
        </w:rPr>
        <w:t>“城市牛皮癣”停留时间超过半日的每发现一处扣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9BA9B04">
      <w:pPr>
        <w:spacing w:line="400" w:lineRule="exact"/>
        <w:ind w:firstLine="44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B</w:t>
      </w:r>
      <w:r>
        <w:rPr>
          <w:rFonts w:hint="eastAsia" w:ascii="宋体" w:hAnsi="宋体" w:eastAsia="宋体" w:cs="宋体"/>
          <w:b/>
          <w:color w:val="auto"/>
          <w:kern w:val="0"/>
          <w:sz w:val="22"/>
          <w:szCs w:val="22"/>
          <w:highlight w:val="none"/>
        </w:rPr>
        <w:t>、规范作业</w:t>
      </w:r>
      <w:r>
        <w:rPr>
          <w:rFonts w:ascii="宋体" w:hAnsi="宋体" w:eastAsia="宋体" w:cs="宋体"/>
          <w:b/>
          <w:color w:val="auto"/>
          <w:kern w:val="0"/>
          <w:sz w:val="22"/>
          <w:szCs w:val="22"/>
          <w:highlight w:val="none"/>
        </w:rPr>
        <w:t>:</w:t>
      </w:r>
    </w:p>
    <w:p w14:paraId="3A9368A4">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人员工作期间不得无故缺岗、离岗，严禁迟到早退，严禁消极怠工，严禁酒后作业，以上情况违反其中一种，发现扣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分，酒后作业发现一</w:t>
      </w:r>
      <w:r>
        <w:rPr>
          <w:rFonts w:hint="eastAsia" w:ascii="宋体" w:hAnsi="宋体" w:cs="宋体"/>
          <w:color w:val="auto"/>
          <w:kern w:val="0"/>
          <w:sz w:val="22"/>
          <w:szCs w:val="22"/>
          <w:highlight w:val="none"/>
          <w:lang w:eastAsia="zh-CN"/>
        </w:rPr>
        <w:t>例</w:t>
      </w:r>
      <w:r>
        <w:rPr>
          <w:rFonts w:hint="eastAsia" w:ascii="宋体" w:hAnsi="宋体" w:eastAsia="宋体" w:cs="宋体"/>
          <w:color w:val="auto"/>
          <w:kern w:val="0"/>
          <w:sz w:val="22"/>
          <w:szCs w:val="22"/>
          <w:highlight w:val="none"/>
        </w:rPr>
        <w:t>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14A36C32">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人员作业时必须穿着反光安全工作服、佩证上岗，作业时，应按车行线反方向清扫，保洁车辆停放应地点适宜，不能太靠近车行线，车容应整洁。作业期间，人员必须衣冠整洁，不得穿拖鞋上岗，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2577709C">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作业期间，不得集聚闲聊，单次休息不得超过</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分钟；不做与作业无关的事；不得捡拾、买卖废品，以上情况违反其中一种，发现扣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FFFE88F">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道路保洁人员应文明作业，不得将垃圾、污水扫到、溅到行人身上，禁止将垃圾堆放或停留在窨井盖上，禁止将垃圾扫入或倒入窨井、道路绿地、河道等处，必须运送至指定地点。清扫作业中不得漏扫、甩扫；交接班不得出现空档，责任区交接处清扫保洁过界</w:t>
      </w:r>
      <w:r>
        <w:rPr>
          <w:rFonts w:ascii="宋体" w:hAnsi="宋体" w:eastAsia="宋体" w:cs="宋体"/>
          <w:color w:val="auto"/>
          <w:kern w:val="0"/>
          <w:sz w:val="22"/>
          <w:szCs w:val="22"/>
          <w:highlight w:val="none"/>
        </w:rPr>
        <w:t>10</w:t>
      </w:r>
      <w:r>
        <w:rPr>
          <w:rFonts w:hint="eastAsia" w:ascii="宋体" w:hAnsi="宋体" w:eastAsia="宋体" w:cs="宋体"/>
          <w:color w:val="auto"/>
          <w:kern w:val="0"/>
          <w:sz w:val="22"/>
          <w:szCs w:val="22"/>
          <w:highlight w:val="none"/>
        </w:rPr>
        <w:t>米，以上情况违反其中一种，发现扣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63C3C540">
      <w:pPr>
        <w:spacing w:line="400" w:lineRule="exact"/>
        <w:ind w:firstLine="44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C</w:t>
      </w:r>
      <w:r>
        <w:rPr>
          <w:rFonts w:hint="eastAsia" w:ascii="宋体" w:hAnsi="宋体" w:eastAsia="宋体" w:cs="宋体"/>
          <w:b/>
          <w:color w:val="auto"/>
          <w:kern w:val="0"/>
          <w:sz w:val="22"/>
          <w:szCs w:val="22"/>
          <w:highlight w:val="none"/>
        </w:rPr>
        <w:t>、环卫设施</w:t>
      </w:r>
      <w:r>
        <w:rPr>
          <w:rFonts w:ascii="宋体" w:hAnsi="宋体" w:eastAsia="宋体" w:cs="宋体"/>
          <w:b/>
          <w:color w:val="auto"/>
          <w:kern w:val="0"/>
          <w:sz w:val="22"/>
          <w:szCs w:val="22"/>
          <w:highlight w:val="none"/>
        </w:rPr>
        <w:t>:</w:t>
      </w:r>
    </w:p>
    <w:p w14:paraId="3701F94A">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环卫设施无破损、定期清洗保持外观清洁，垃圾桶、果壳箱每日清洗一次，所有垃圾收集车辆每次清洗后方可上路，垃圾容器封闭，无四害</w:t>
      </w:r>
      <w:r>
        <w:rPr>
          <w:rFonts w:hint="eastAsia" w:ascii="宋体" w:hAnsi="宋体" w:cs="宋体"/>
          <w:color w:val="auto"/>
          <w:kern w:val="0"/>
          <w:sz w:val="22"/>
          <w:szCs w:val="22"/>
          <w:highlight w:val="none"/>
          <w:lang w:eastAsia="zh-CN"/>
        </w:rPr>
        <w:t>滋生</w:t>
      </w:r>
      <w:r>
        <w:rPr>
          <w:rFonts w:hint="eastAsia" w:ascii="宋体" w:hAnsi="宋体" w:eastAsia="宋体" w:cs="宋体"/>
          <w:color w:val="auto"/>
          <w:kern w:val="0"/>
          <w:sz w:val="22"/>
          <w:szCs w:val="22"/>
          <w:highlight w:val="none"/>
        </w:rPr>
        <w:t>，周围无垃圾散落，做到管理规范，垃圾日产日清，以上情况违反其中一种，发现扣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5AB784B0">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果壳箱、垃圾桶（箱）缺失被盗的</w:t>
      </w:r>
      <w:r>
        <w:rPr>
          <w:rFonts w:hint="eastAsia" w:ascii="宋体" w:hAnsi="宋体" w:eastAsia="宋体" w:cs="宋体"/>
          <w:color w:val="auto"/>
          <w:kern w:val="0"/>
          <w:sz w:val="22"/>
          <w:szCs w:val="22"/>
          <w:highlight w:val="none"/>
          <w:lang w:val="en-US" w:eastAsia="zh-CN"/>
        </w:rPr>
        <w:t>或破损的</w:t>
      </w:r>
      <w:r>
        <w:rPr>
          <w:rFonts w:hint="eastAsia" w:ascii="宋体" w:hAnsi="宋体" w:eastAsia="宋体" w:cs="宋体"/>
          <w:color w:val="auto"/>
          <w:kern w:val="0"/>
          <w:sz w:val="22"/>
          <w:szCs w:val="22"/>
          <w:highlight w:val="none"/>
        </w:rPr>
        <w:t>，发现一次扣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w:t>
      </w:r>
    </w:p>
    <w:p w14:paraId="7BB975E9">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垃圾日常日清，垃圾每日清理，发现一次没有清理扣</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分。</w:t>
      </w:r>
    </w:p>
    <w:p w14:paraId="533308F5">
      <w:pPr>
        <w:spacing w:line="400" w:lineRule="exact"/>
        <w:ind w:firstLine="44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D</w:t>
      </w:r>
      <w:r>
        <w:rPr>
          <w:rFonts w:hint="eastAsia" w:ascii="宋体" w:hAnsi="宋体" w:eastAsia="宋体" w:cs="宋体"/>
          <w:b/>
          <w:color w:val="auto"/>
          <w:kern w:val="0"/>
          <w:sz w:val="22"/>
          <w:szCs w:val="22"/>
          <w:highlight w:val="none"/>
        </w:rPr>
        <w:t>、垃圾收集</w:t>
      </w:r>
      <w:r>
        <w:rPr>
          <w:rFonts w:ascii="宋体" w:hAnsi="宋体" w:eastAsia="宋体" w:cs="宋体"/>
          <w:b/>
          <w:color w:val="auto"/>
          <w:kern w:val="0"/>
          <w:sz w:val="22"/>
          <w:szCs w:val="22"/>
          <w:highlight w:val="none"/>
        </w:rPr>
        <w:t>:</w:t>
      </w:r>
    </w:p>
    <w:p w14:paraId="227B1677">
      <w:pPr>
        <w:spacing w:line="400" w:lineRule="exact"/>
        <w:ind w:firstLine="446" w:firstLineChars="200"/>
        <w:rPr>
          <w:rFonts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以上情况违反其中一种，发现扣</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分，车辆发生安全事故，负主要责任的每次扣</w:t>
      </w: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分，擅自收取费用发现一次扣</w:t>
      </w: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分（同时扣罚所收费用的三倍金额）。</w:t>
      </w:r>
      <w:r>
        <w:rPr>
          <w:rFonts w:hint="eastAsia" w:ascii="宋体" w:hAnsi="宋体" w:eastAsia="宋体" w:cs="宋体"/>
          <w:color w:val="auto"/>
          <w:kern w:val="0"/>
          <w:sz w:val="22"/>
          <w:szCs w:val="22"/>
          <w:highlight w:val="none"/>
          <w:lang w:val="en-US" w:eastAsia="zh-CN"/>
        </w:rPr>
        <w:t>4个垃圾中转站点管理不到位，发现一次扣1-5分。</w:t>
      </w:r>
    </w:p>
    <w:p w14:paraId="5A76A8E3">
      <w:pPr>
        <w:spacing w:line="400" w:lineRule="exact"/>
        <w:ind w:firstLine="44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E</w:t>
      </w:r>
      <w:r>
        <w:rPr>
          <w:rFonts w:hint="eastAsia" w:ascii="宋体" w:hAnsi="宋体" w:eastAsia="宋体" w:cs="宋体"/>
          <w:b/>
          <w:color w:val="auto"/>
          <w:kern w:val="0"/>
          <w:sz w:val="22"/>
          <w:szCs w:val="22"/>
          <w:highlight w:val="none"/>
        </w:rPr>
        <w:t>、垃圾分类宣传管理</w:t>
      </w:r>
    </w:p>
    <w:p w14:paraId="265F2709">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垃圾收集车标志应清晰，保持外观清洁；遵守交通法规，违章停放作业，安全作业；垃圾装运量应以车辆的额定荷载和有效容积为限，不得超重、超高超速运输，不得悬挂杂物，装卸垃圾应符合作业要求，不得乱倒、乱卸、乱抛、焚烧垃圾，垃圾清运须及时，垃圾清运完毕，应打扫周边环境，做到人走地净，环卫工人不得擅自收取任何费用。</w:t>
      </w:r>
    </w:p>
    <w:p w14:paraId="523D4FD5">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1、垃圾分类知晓率和投放准确率达到各年度考核要求</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7ED2767C">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、对分类区域的垃圾进行分类运输，不得将垃圾进行混合收运</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32209B90">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、后端处理终端需要配备专业的处置员进行分类处置</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385EC43C">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、投标人采取的垃圾分类收集方式对应的投入相关设备设施及车辆需要达到辐射面的基本要求</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3E3B6E9F">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、可回收垃圾需按市价回收，不得擅自低价收集，并自行安排仓储。易腐垃圾与有害垃圾需按照积分兑换原则积极收取，及时汇报终端处置结果与方式</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6711F0EA">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、垃圾分类积分兑换礼品需正规渠道采购，采购资金中标企业自行负责解决，兑换礼品价值与积分的比例需合理，积分累计方式采取线上线下相结合,后台可控可视可管理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发现不到位一次扣1分</w:t>
      </w:r>
      <w:r>
        <w:rPr>
          <w:rFonts w:hint="eastAsia" w:ascii="宋体" w:hAnsi="宋体" w:eastAsia="宋体" w:cs="宋体"/>
          <w:color w:val="auto"/>
          <w:kern w:val="0"/>
          <w:sz w:val="22"/>
          <w:szCs w:val="22"/>
          <w:highlight w:val="none"/>
        </w:rPr>
        <w:t>。</w:t>
      </w:r>
    </w:p>
    <w:p w14:paraId="66639E12">
      <w:pPr>
        <w:spacing w:line="400" w:lineRule="exact"/>
        <w:ind w:firstLine="44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F</w:t>
      </w:r>
      <w:r>
        <w:rPr>
          <w:rFonts w:hint="eastAsia" w:ascii="宋体" w:hAnsi="宋体" w:eastAsia="宋体" w:cs="宋体"/>
          <w:b/>
          <w:color w:val="auto"/>
          <w:kern w:val="0"/>
          <w:sz w:val="22"/>
          <w:szCs w:val="22"/>
          <w:highlight w:val="none"/>
        </w:rPr>
        <w:t>、公司管理</w:t>
      </w:r>
      <w:r>
        <w:rPr>
          <w:rFonts w:ascii="宋体" w:hAnsi="宋体" w:eastAsia="宋体" w:cs="宋体"/>
          <w:b/>
          <w:color w:val="auto"/>
          <w:kern w:val="0"/>
          <w:sz w:val="22"/>
          <w:szCs w:val="22"/>
          <w:highlight w:val="none"/>
        </w:rPr>
        <w:t>:</w:t>
      </w:r>
    </w:p>
    <w:p w14:paraId="0247609F">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承包单位必须在办公地点显著位置摆放所有人员一览表，表内信息须包括：人员照片、姓名、岗位、负责区域、工作时间等信息。</w:t>
      </w:r>
    </w:p>
    <w:p w14:paraId="6434507E">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针对本次项目的要求制定详细的作业方案；制定企业内部管理方案（包括：质量规范及考核制度、人员奖惩制度、安全生产及文明生产保障措施、应急方案、环境保护措施等），确保所有工作稳步进行。</w:t>
      </w:r>
    </w:p>
    <w:p w14:paraId="470AE758">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合同期内承包单位应加强作业管理，加强安全作业控制，项目管理人员应跟班作业，加强路段内巡视，做好巡视记录，每天检查公司员工清扫保洁的时间、任务量等日常工作。</w:t>
      </w:r>
    </w:p>
    <w:p w14:paraId="415D35F2">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按规定建立规范、详细的养护作业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，做好养护工作量日报、月报及年报，按时上报各类报表并协助调查、解决来电来信来访等问题。</w:t>
      </w:r>
    </w:p>
    <w:p w14:paraId="5BCA0FF6">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未制定具体作业方案和管理奖惩制度的，没有按照规定摆放工作人员一览表，明确责任分工的，未按规定制作养护作业</w:t>
      </w:r>
      <w:r>
        <w:rPr>
          <w:rFonts w:hint="eastAsia" w:ascii="宋体" w:hAnsi="宋体" w:cs="宋体"/>
          <w:color w:val="auto"/>
          <w:kern w:val="0"/>
          <w:sz w:val="22"/>
          <w:szCs w:val="22"/>
          <w:highlight w:val="none"/>
          <w:lang w:eastAsia="zh-CN"/>
        </w:rPr>
        <w:t>台账</w:t>
      </w:r>
      <w:r>
        <w:rPr>
          <w:rFonts w:hint="eastAsia" w:ascii="宋体" w:hAnsi="宋体" w:eastAsia="宋体" w:cs="宋体"/>
          <w:color w:val="auto"/>
          <w:kern w:val="0"/>
          <w:sz w:val="22"/>
          <w:szCs w:val="22"/>
          <w:highlight w:val="none"/>
        </w:rPr>
        <w:t>，做好工作日报、月报及年报，按时上报各类报表并协助调查、解决来电来信等问题，以上情况发现一次扣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35B35ACA">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由于管理不当造成环境污染的扣</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分；</w:t>
      </w:r>
    </w:p>
    <w:p w14:paraId="1EE5AE05">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7.</w:t>
      </w:r>
      <w:r>
        <w:rPr>
          <w:rFonts w:hint="eastAsia" w:ascii="宋体" w:hAnsi="宋体" w:eastAsia="宋体" w:cs="宋体"/>
          <w:color w:val="auto"/>
          <w:kern w:val="0"/>
          <w:sz w:val="22"/>
          <w:szCs w:val="22"/>
          <w:highlight w:val="none"/>
        </w:rPr>
        <w:t>由于管理不当造成人员重大伤亡的一次扣</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分。</w:t>
      </w:r>
    </w:p>
    <w:p w14:paraId="115EADF7">
      <w:pPr>
        <w:spacing w:line="400" w:lineRule="exact"/>
        <w:ind w:firstLine="446" w:firstLineChars="200"/>
        <w:rPr>
          <w:rFonts w:ascii="宋体" w:hAnsi="宋体" w:eastAsia="宋体" w:cs="宋体"/>
          <w:b/>
          <w:color w:val="auto"/>
          <w:kern w:val="0"/>
          <w:sz w:val="22"/>
          <w:szCs w:val="22"/>
          <w:highlight w:val="none"/>
        </w:rPr>
      </w:pPr>
      <w:r>
        <w:rPr>
          <w:rFonts w:ascii="宋体" w:hAnsi="宋体" w:eastAsia="宋体" w:cs="宋体"/>
          <w:b/>
          <w:color w:val="auto"/>
          <w:kern w:val="0"/>
          <w:sz w:val="22"/>
          <w:szCs w:val="22"/>
          <w:highlight w:val="none"/>
        </w:rPr>
        <w:t>G</w:t>
      </w:r>
      <w:r>
        <w:rPr>
          <w:rFonts w:hint="eastAsia" w:ascii="宋体" w:hAnsi="宋体" w:eastAsia="宋体" w:cs="宋体"/>
          <w:b/>
          <w:color w:val="auto"/>
          <w:kern w:val="0"/>
          <w:sz w:val="22"/>
          <w:szCs w:val="22"/>
          <w:highlight w:val="none"/>
        </w:rPr>
        <w:t>、突发性处置管理：</w:t>
      </w:r>
    </w:p>
    <w:p w14:paraId="6480EB5B">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承包期内应对各级检查、重大活动、自然灾害天气以及突发事件</w:t>
      </w:r>
      <w:r>
        <w:rPr>
          <w:rFonts w:hint="eastAsia" w:ascii="宋体" w:hAnsi="宋体" w:cs="宋体"/>
          <w:color w:val="auto"/>
          <w:kern w:val="0"/>
          <w:sz w:val="22"/>
          <w:szCs w:val="22"/>
          <w:highlight w:val="none"/>
          <w:lang w:eastAsia="zh-CN"/>
        </w:rPr>
        <w:t>不力</w:t>
      </w:r>
      <w:r>
        <w:rPr>
          <w:rFonts w:hint="eastAsia" w:ascii="宋体" w:hAnsi="宋体" w:eastAsia="宋体" w:cs="宋体"/>
          <w:color w:val="auto"/>
          <w:kern w:val="0"/>
          <w:sz w:val="22"/>
          <w:szCs w:val="22"/>
          <w:highlight w:val="none"/>
        </w:rPr>
        <w:t>的扣10</w:t>
      </w:r>
      <w:r>
        <w:rPr>
          <w:rFonts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rPr>
        <w:t>分。</w:t>
      </w:r>
    </w:p>
    <w:p w14:paraId="661A3079">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因卫生差被新闻单位曝光或受到相关领导单位批评督办的，经查实后扣10分。</w:t>
      </w:r>
    </w:p>
    <w:p w14:paraId="2CA15D83">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群众信访举报发现</w:t>
      </w: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次</w:t>
      </w:r>
      <w:r>
        <w:rPr>
          <w:rFonts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rPr>
        <w:t>分钟内未及时整改处理的扣5分，一个地方被举报</w:t>
      </w: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次的扣10分。</w:t>
      </w:r>
    </w:p>
    <w:p w14:paraId="015BD24B">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（五）汇总评议</w:t>
      </w:r>
    </w:p>
    <w:p w14:paraId="53877B2B">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每次考核后统计一次，每周进行汇总，每月进行一次评议；汇总后制成“检查情况汇总表”及“路况通报”，周期内的清扫保洁问题都将一一在通报中反映。</w:t>
      </w:r>
    </w:p>
    <w:p w14:paraId="0F54E942">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六、奖罚措施</w:t>
      </w:r>
    </w:p>
    <w:p w14:paraId="19E814AC">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当月考核最后得分以当月考核平均分为准，当月考核最后得分分值在</w:t>
      </w:r>
      <w:r>
        <w:rPr>
          <w:rFonts w:hint="eastAsia" w:ascii="宋体" w:hAnsi="宋体" w:eastAsia="宋体" w:cs="宋体"/>
          <w:color w:val="auto"/>
          <w:kern w:val="0"/>
          <w:sz w:val="22"/>
          <w:szCs w:val="22"/>
          <w:highlight w:val="none"/>
          <w:lang w:val="en-US" w:eastAsia="zh-CN"/>
        </w:rPr>
        <w:t>95分以上为优秀，</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w:t>
      </w:r>
      <w:r>
        <w:rPr>
          <w:rFonts w:hint="eastAsia" w:ascii="宋体" w:hAnsi="宋体" w:eastAsia="宋体" w:cs="宋体"/>
          <w:color w:val="auto"/>
          <w:kern w:val="0"/>
          <w:sz w:val="22"/>
          <w:szCs w:val="22"/>
          <w:highlight w:val="none"/>
          <w:lang w:val="en-US" w:eastAsia="zh-CN"/>
        </w:rPr>
        <w:t>-95分</w:t>
      </w:r>
      <w:r>
        <w:rPr>
          <w:rFonts w:hint="eastAsia" w:ascii="宋体" w:hAnsi="宋体" w:eastAsia="宋体" w:cs="宋体"/>
          <w:color w:val="auto"/>
          <w:kern w:val="0"/>
          <w:sz w:val="22"/>
          <w:szCs w:val="22"/>
          <w:highlight w:val="none"/>
        </w:rPr>
        <w:t>（含</w:t>
      </w:r>
      <w:r>
        <w:rPr>
          <w:rFonts w:ascii="宋体" w:hAnsi="宋体" w:eastAsia="宋体" w:cs="宋体"/>
          <w:color w:val="auto"/>
          <w:kern w:val="0"/>
          <w:sz w:val="22"/>
          <w:szCs w:val="22"/>
          <w:highlight w:val="none"/>
        </w:rPr>
        <w:t>9</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分）为合格，</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分以下为不合格；</w:t>
      </w:r>
    </w:p>
    <w:p w14:paraId="0CCCA7B4">
      <w:pPr>
        <w:spacing w:line="400" w:lineRule="exact"/>
        <w:ind w:firstLine="446" w:firstLineChars="20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当月考核最后得分分值在</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（含</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w:t>
      </w:r>
      <w:r>
        <w:rPr>
          <w:rFonts w:ascii="宋体" w:hAnsi="宋体" w:eastAsia="宋体" w:cs="宋体"/>
          <w:color w:val="auto"/>
          <w:kern w:val="0"/>
          <w:sz w:val="22"/>
          <w:szCs w:val="22"/>
          <w:highlight w:val="none"/>
        </w:rPr>
        <w:t>—90</w:t>
      </w:r>
      <w:r>
        <w:rPr>
          <w:rFonts w:hint="eastAsia" w:ascii="宋体" w:hAnsi="宋体" w:eastAsia="宋体" w:cs="宋体"/>
          <w:color w:val="auto"/>
          <w:kern w:val="0"/>
          <w:sz w:val="22"/>
          <w:szCs w:val="22"/>
          <w:highlight w:val="none"/>
        </w:rPr>
        <w:t>分的每少一分扣罚</w:t>
      </w:r>
      <w:r>
        <w:rPr>
          <w:rFonts w:hint="eastAsia" w:ascii="宋体" w:hAnsi="宋体" w:eastAsia="宋体" w:cs="宋体"/>
          <w:color w:val="auto"/>
          <w:kern w:val="0"/>
          <w:sz w:val="22"/>
          <w:szCs w:val="22"/>
          <w:highlight w:val="none"/>
          <w:lang w:val="en-US" w:eastAsia="zh-CN"/>
        </w:rPr>
        <w:t>1</w:t>
      </w:r>
      <w:r>
        <w:rPr>
          <w:rFonts w:ascii="宋体" w:hAnsi="宋体" w:eastAsia="宋体" w:cs="宋体"/>
          <w:color w:val="auto"/>
          <w:kern w:val="0"/>
          <w:sz w:val="22"/>
          <w:szCs w:val="22"/>
          <w:highlight w:val="none"/>
        </w:rPr>
        <w:t>000</w:t>
      </w:r>
      <w:r>
        <w:rPr>
          <w:rFonts w:hint="eastAsia" w:ascii="宋体" w:hAnsi="宋体" w:eastAsia="宋体" w:cs="宋体"/>
          <w:color w:val="auto"/>
          <w:kern w:val="0"/>
          <w:sz w:val="22"/>
          <w:szCs w:val="22"/>
          <w:highlight w:val="none"/>
        </w:rPr>
        <w:t>元，</w:t>
      </w:r>
      <w:r>
        <w:rPr>
          <w:rFonts w:ascii="宋体" w:hAnsi="宋体" w:eastAsia="宋体" w:cs="宋体"/>
          <w:color w:val="auto"/>
          <w:kern w:val="0"/>
          <w:sz w:val="22"/>
          <w:szCs w:val="22"/>
          <w:highlight w:val="none"/>
        </w:rPr>
        <w:t>85</w:t>
      </w:r>
      <w:r>
        <w:rPr>
          <w:rFonts w:hint="eastAsia" w:ascii="宋体" w:hAnsi="宋体" w:eastAsia="宋体" w:cs="宋体"/>
          <w:color w:val="auto"/>
          <w:kern w:val="0"/>
          <w:sz w:val="22"/>
          <w:szCs w:val="22"/>
          <w:highlight w:val="none"/>
        </w:rPr>
        <w:t>分以下的每少一分扣罚</w:t>
      </w:r>
      <w:r>
        <w:rPr>
          <w:rFonts w:hint="eastAsia" w:ascii="宋体" w:hAnsi="宋体" w:eastAsia="宋体" w:cs="宋体"/>
          <w:color w:val="auto"/>
          <w:kern w:val="0"/>
          <w:sz w:val="22"/>
          <w:szCs w:val="22"/>
          <w:highlight w:val="none"/>
          <w:lang w:val="en-US" w:eastAsia="zh-CN"/>
        </w:rPr>
        <w:t>2</w:t>
      </w:r>
      <w:r>
        <w:rPr>
          <w:rFonts w:ascii="宋体" w:hAnsi="宋体" w:eastAsia="宋体" w:cs="宋体"/>
          <w:color w:val="auto"/>
          <w:kern w:val="0"/>
          <w:sz w:val="22"/>
          <w:szCs w:val="22"/>
          <w:highlight w:val="none"/>
        </w:rPr>
        <w:t>000</w:t>
      </w:r>
      <w:r>
        <w:rPr>
          <w:rFonts w:hint="eastAsia" w:ascii="宋体" w:hAnsi="宋体" w:eastAsia="宋体" w:cs="宋体"/>
          <w:color w:val="auto"/>
          <w:kern w:val="0"/>
          <w:sz w:val="22"/>
          <w:szCs w:val="22"/>
          <w:highlight w:val="none"/>
        </w:rPr>
        <w:t>元，直至当月承包款扣完为止，扣罚款在支付当月承包款时直接扣除。</w:t>
      </w:r>
    </w:p>
    <w:p w14:paraId="6AF9401A">
      <w:pPr>
        <w:spacing w:line="400" w:lineRule="exact"/>
        <w:ind w:firstLine="446" w:firstLineChars="200"/>
        <w:rPr>
          <w:rFonts w:hint="eastAsia"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一个年度内</w:t>
      </w:r>
      <w:r>
        <w:rPr>
          <w:rFonts w:hint="eastAsia" w:ascii="宋体" w:hAnsi="宋体" w:cs="宋体"/>
          <w:color w:val="auto"/>
          <w:kern w:val="0"/>
          <w:sz w:val="22"/>
          <w:szCs w:val="22"/>
          <w:highlight w:val="none"/>
          <w:lang w:eastAsia="zh-CN"/>
        </w:rPr>
        <w:t>两个</w:t>
      </w:r>
      <w:r>
        <w:rPr>
          <w:rFonts w:hint="eastAsia" w:ascii="宋体" w:hAnsi="宋体" w:eastAsia="宋体" w:cs="宋体"/>
          <w:color w:val="auto"/>
          <w:kern w:val="0"/>
          <w:sz w:val="22"/>
          <w:szCs w:val="22"/>
          <w:highlight w:val="none"/>
        </w:rPr>
        <w:t>月考核不合格除上述罚款外追加罚没履约保证金的</w:t>
      </w:r>
      <w:r>
        <w:rPr>
          <w:rFonts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rPr>
        <w:t>；三个月考核不合格，采购人有权终止承包合同并全额扣罚履约保证金。</w:t>
      </w:r>
    </w:p>
    <w:p w14:paraId="376AD2AD">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b w:val="0"/>
          <w:color w:val="auto"/>
          <w:kern w:val="0"/>
          <w:sz w:val="22"/>
          <w:szCs w:val="22"/>
          <w:highlight w:val="none"/>
          <w:lang w:val="en-US" w:eastAsia="zh-CN" w:bidi="ar-SA"/>
        </w:rPr>
        <w:t>4.</w:t>
      </w:r>
      <w:r>
        <w:rPr>
          <w:rFonts w:hint="eastAsia" w:ascii="宋体" w:hAnsi="宋体" w:eastAsia="宋体" w:cs="宋体"/>
          <w:color w:val="auto"/>
          <w:kern w:val="0"/>
          <w:sz w:val="22"/>
          <w:szCs w:val="22"/>
          <w:highlight w:val="none"/>
        </w:rPr>
        <w:t>全年考核均</w:t>
      </w:r>
      <w:r>
        <w:rPr>
          <w:rFonts w:hint="eastAsia" w:ascii="宋体" w:hAnsi="宋体" w:eastAsia="宋体" w:cs="宋体"/>
          <w:color w:val="auto"/>
          <w:kern w:val="0"/>
          <w:sz w:val="22"/>
          <w:szCs w:val="22"/>
          <w:highlight w:val="none"/>
          <w:lang w:eastAsia="zh-CN"/>
        </w:rPr>
        <w:t>优秀，或全县年度考核前三名或被上级部门列为示范乡镇</w:t>
      </w:r>
      <w:r>
        <w:rPr>
          <w:rFonts w:hint="eastAsia" w:ascii="宋体" w:hAnsi="宋体" w:eastAsia="宋体" w:cs="宋体"/>
          <w:color w:val="auto"/>
          <w:kern w:val="0"/>
          <w:sz w:val="22"/>
          <w:szCs w:val="22"/>
          <w:highlight w:val="none"/>
        </w:rPr>
        <w:t>，镇政府和管辖范围内的行政村对承包进行考核，给予相应的奖励，奖励金额由镇班子研究决定。</w:t>
      </w:r>
    </w:p>
    <w:p w14:paraId="7936EF7E">
      <w:pPr>
        <w:spacing w:line="400" w:lineRule="exact"/>
        <w:ind w:firstLine="446" w:firstLineChars="200"/>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七、说明</w:t>
      </w:r>
    </w:p>
    <w:p w14:paraId="43DD1BF0">
      <w:pPr>
        <w:spacing w:line="400" w:lineRule="exact"/>
        <w:ind w:firstLine="446"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本考核办法为试行考核管理办法，详细考核管理细则将在合同签订前确定，合同执行期间采购人有权根据实际运行情况作出相应调整，承包单位应无条件服从。</w:t>
      </w:r>
    </w:p>
    <w:p w14:paraId="58B4DAA5">
      <w:pPr>
        <w:pStyle w:val="32"/>
        <w:rPr>
          <w:rFonts w:hint="eastAsia"/>
          <w:color w:val="auto"/>
          <w:sz w:val="22"/>
          <w:szCs w:val="22"/>
          <w:highlight w:val="none"/>
        </w:rPr>
      </w:pPr>
    </w:p>
    <w:p w14:paraId="053415C6">
      <w:pPr>
        <w:spacing w:line="400" w:lineRule="exact"/>
        <w:rPr>
          <w:rFonts w:ascii="宋体" w:hAnsi="宋体" w:cs="宋体"/>
          <w:color w:val="auto"/>
          <w:sz w:val="22"/>
          <w:highlight w:val="none"/>
        </w:rPr>
      </w:pPr>
    </w:p>
    <w:p w14:paraId="7B213BEE">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zh-CN"/>
        </w:rPr>
        <w:t>三部分</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zh-CN"/>
        </w:rPr>
        <w:t>供应商须知</w:t>
      </w:r>
      <w:bookmarkEnd w:id="3"/>
    </w:p>
    <w:p w14:paraId="45AB3F4C">
      <w:pPr>
        <w:tabs>
          <w:tab w:val="left" w:pos="1069"/>
          <w:tab w:val="left" w:pos="2352"/>
        </w:tabs>
        <w:autoSpaceDE w:val="0"/>
        <w:autoSpaceDN w:val="0"/>
        <w:adjustRightInd w:val="0"/>
        <w:spacing w:line="450" w:lineRule="atLeast"/>
        <w:ind w:firstLine="446" w:firstLineChars="200"/>
        <w:rPr>
          <w:rFonts w:ascii="宋体" w:hAnsi="宋体" w:cs="宋体"/>
          <w:b/>
          <w:color w:val="auto"/>
          <w:sz w:val="22"/>
          <w:highlight w:val="none"/>
          <w:lang w:val="zh-CN"/>
        </w:rPr>
      </w:pPr>
      <w:bookmarkStart w:id="7" w:name="_Toc9317_WPSOffice_Level2"/>
      <w:r>
        <w:rPr>
          <w:rFonts w:hint="eastAsia" w:ascii="宋体" w:hAnsi="宋体" w:cs="宋体"/>
          <w:b/>
          <w:color w:val="auto"/>
          <w:sz w:val="22"/>
          <w:highlight w:val="none"/>
          <w:lang w:val="zh-CN"/>
        </w:rPr>
        <w:t>一、说明</w:t>
      </w:r>
      <w:bookmarkEnd w:id="7"/>
    </w:p>
    <w:p w14:paraId="39ECB8D8">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384ED630">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Cs/>
          <w:color w:val="auto"/>
          <w:sz w:val="22"/>
          <w:highlight w:val="none"/>
        </w:rPr>
        <w:t>供应商必须对所投标项全部内容进行报价</w:t>
      </w:r>
      <w:r>
        <w:rPr>
          <w:rFonts w:hint="eastAsia" w:ascii="宋体" w:hAnsi="宋体" w:cs="宋体"/>
          <w:color w:val="auto"/>
          <w:sz w:val="22"/>
          <w:highlight w:val="none"/>
        </w:rPr>
        <w:t>，只对部分内容进行报价的供应商将按无效投标处理。</w:t>
      </w:r>
    </w:p>
    <w:p w14:paraId="55CEB085">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3.无论投标过程中</w:t>
      </w:r>
      <w:r>
        <w:rPr>
          <w:rFonts w:hint="eastAsia" w:ascii="宋体" w:hAnsi="宋体" w:cs="宋体"/>
          <w:color w:val="auto"/>
          <w:sz w:val="22"/>
          <w:highlight w:val="none"/>
          <w:lang w:eastAsia="zh-CN"/>
        </w:rPr>
        <w:t>的做法</w:t>
      </w:r>
      <w:r>
        <w:rPr>
          <w:rFonts w:hint="eastAsia" w:ascii="宋体" w:hAnsi="宋体" w:cs="宋体"/>
          <w:color w:val="auto"/>
          <w:sz w:val="22"/>
          <w:highlight w:val="none"/>
        </w:rPr>
        <w:t>和结果如何，供应商自行承担投标活动中所发生的全部费用；采购人有权选择供应商的供货和服务范围。</w:t>
      </w:r>
    </w:p>
    <w:p w14:paraId="7F5C61D5">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4.安全管理</w:t>
      </w:r>
    </w:p>
    <w:p w14:paraId="7C9C0E09">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1B2CD35D">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2B04E758">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5.1供应商应保证，采购人在中华人民共和国使用货物或服务的任何一部分时，免受第三方提出侵犯其专利权、商标权或</w:t>
      </w:r>
      <w:r>
        <w:rPr>
          <w:rFonts w:hint="eastAsia" w:ascii="宋体" w:hAnsi="宋体" w:cs="宋体"/>
          <w:color w:val="auto"/>
          <w:sz w:val="22"/>
          <w:highlight w:val="none"/>
          <w:lang w:eastAsia="zh-CN"/>
        </w:rPr>
        <w:t>其他</w:t>
      </w:r>
      <w:r>
        <w:rPr>
          <w:rFonts w:hint="eastAsia" w:ascii="宋体" w:hAnsi="宋体" w:cs="宋体"/>
          <w:color w:val="auto"/>
          <w:sz w:val="22"/>
          <w:highlight w:val="none"/>
        </w:rPr>
        <w:t>知识产权的起诉。</w:t>
      </w:r>
    </w:p>
    <w:p w14:paraId="05A6020B">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5.2投标人应对采购人在使用该服务时所</w:t>
      </w:r>
      <w:r>
        <w:rPr>
          <w:rFonts w:hint="eastAsia" w:ascii="宋体" w:hAnsi="宋体" w:cs="宋体"/>
          <w:color w:val="auto"/>
          <w:sz w:val="22"/>
          <w:highlight w:val="none"/>
          <w:lang w:eastAsia="zh-CN"/>
        </w:rPr>
        <w:t>涉及</w:t>
      </w:r>
      <w:r>
        <w:rPr>
          <w:rFonts w:hint="eastAsia" w:ascii="宋体" w:hAnsi="宋体" w:cs="宋体"/>
          <w:color w:val="auto"/>
          <w:sz w:val="22"/>
          <w:highlight w:val="none"/>
        </w:rPr>
        <w:t>的专利权负责，不损害采购人的利益。</w:t>
      </w:r>
    </w:p>
    <w:p w14:paraId="02FD6FCD">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3F6E4553">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5.4投标人提供的服务中如使用其他公司的相关专利，应在标书中出示相关授权，如未出示但使用了其他公司的专利，导致供应商中标</w:t>
      </w:r>
      <w:r>
        <w:rPr>
          <w:rFonts w:hint="eastAsia" w:ascii="宋体" w:hAnsi="宋体" w:cs="宋体"/>
          <w:color w:val="auto"/>
          <w:sz w:val="22"/>
          <w:highlight w:val="none"/>
          <w:lang w:eastAsia="zh-CN"/>
        </w:rPr>
        <w:t>（</w:t>
      </w:r>
      <w:r>
        <w:rPr>
          <w:rFonts w:hint="eastAsia" w:ascii="宋体" w:hAnsi="宋体" w:cs="宋体"/>
          <w:color w:val="auto"/>
          <w:sz w:val="22"/>
          <w:highlight w:val="none"/>
        </w:rPr>
        <w:t>成交</w:t>
      </w:r>
      <w:r>
        <w:rPr>
          <w:rFonts w:hint="eastAsia" w:ascii="宋体" w:hAnsi="宋体" w:cs="宋体"/>
          <w:color w:val="auto"/>
          <w:sz w:val="22"/>
          <w:highlight w:val="none"/>
          <w:lang w:eastAsia="zh-CN"/>
        </w:rPr>
        <w:t>）</w:t>
      </w:r>
      <w:r>
        <w:rPr>
          <w:rFonts w:hint="eastAsia" w:ascii="宋体" w:hAnsi="宋体" w:cs="宋体"/>
          <w:color w:val="auto"/>
          <w:sz w:val="22"/>
          <w:highlight w:val="none"/>
        </w:rPr>
        <w:t>而引起相关诉讼，由投标人承担。</w:t>
      </w:r>
    </w:p>
    <w:p w14:paraId="25FFC360">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单位负责人为同一人或者存在直接控股、管理关系的不同供应商，不得参加同一合同项下的政府采购活动。如在评标过程中发现供应商间存在上述关系，评审小组可以对存在上述关系的供应商作无效投标处理。</w:t>
      </w:r>
    </w:p>
    <w:p w14:paraId="3B1857F6">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为采购项目提供整体设计、规范编制或者项目管理、监理、检测等服务的供应商，不得再参加该采购项目的其他采购活动。</w:t>
      </w:r>
    </w:p>
    <w:p w14:paraId="36A75B24">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rPr>
      </w:pPr>
      <w:r>
        <w:rPr>
          <w:rFonts w:hint="eastAsia" w:ascii="宋体" w:hAnsi="宋体" w:cs="宋体"/>
          <w:color w:val="auto"/>
          <w:sz w:val="22"/>
          <w:highlight w:val="none"/>
        </w:rPr>
        <w:t>8</w:t>
      </w:r>
      <w:r>
        <w:rPr>
          <w:rFonts w:hint="eastAsia" w:ascii="宋体" w:hAnsi="宋体" w:cs="宋体"/>
          <w:color w:val="auto"/>
          <w:sz w:val="22"/>
          <w:highlight w:val="none"/>
          <w:lang w:val="zh-CN"/>
        </w:rPr>
        <w:t>.</w:t>
      </w:r>
      <w:r>
        <w:rPr>
          <w:rFonts w:hint="eastAsia" w:ascii="宋体" w:hAnsi="宋体" w:cs="宋体"/>
          <w:b/>
          <w:color w:val="auto"/>
          <w:sz w:val="22"/>
          <w:highlight w:val="none"/>
        </w:rPr>
        <w:t>▲供应商须具有良好的商业信誉：</w:t>
      </w:r>
    </w:p>
    <w:p w14:paraId="1D532C7F">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1</w:t>
      </w:r>
      <w:r>
        <w:rPr>
          <w:rFonts w:hint="eastAsia" w:ascii="宋体" w:hAnsi="宋体"/>
          <w:b/>
          <w:color w:val="auto"/>
          <w:sz w:val="22"/>
          <w:highlight w:val="none"/>
          <w:u w:val="single"/>
        </w:rPr>
        <w:t>）供应商在国家企业信用信息公示系统网（http://www.gsxt.gov.cn/index.html）无严重违法企业记录。</w:t>
      </w:r>
    </w:p>
    <w:p w14:paraId="7EF17155">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2</w:t>
      </w:r>
      <w:r>
        <w:rPr>
          <w:rFonts w:hint="eastAsia" w:ascii="宋体" w:hAnsi="宋体"/>
          <w:b/>
          <w:color w:val="auto"/>
          <w:sz w:val="22"/>
          <w:highlight w:val="none"/>
          <w:u w:val="single"/>
        </w:rPr>
        <w:t>）供应商在中国执行信息公开网（http://zxgk.court.gov.cn/）无失信信息记录。</w:t>
      </w:r>
    </w:p>
    <w:p w14:paraId="53F721C6">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u w:val="single"/>
        </w:rPr>
      </w:pPr>
      <w:r>
        <w:rPr>
          <w:rFonts w:ascii="宋体" w:hAnsi="宋体"/>
          <w:b/>
          <w:color w:val="auto"/>
          <w:sz w:val="22"/>
          <w:highlight w:val="none"/>
          <w:u w:val="single"/>
        </w:rPr>
        <w:t>3</w:t>
      </w:r>
      <w:r>
        <w:rPr>
          <w:rFonts w:hint="eastAsia" w:ascii="宋体" w:hAnsi="宋体"/>
          <w:b/>
          <w:color w:val="auto"/>
          <w:sz w:val="22"/>
          <w:highlight w:val="none"/>
          <w:u w:val="single"/>
        </w:rPr>
        <w:t>）供应商在中国政府采购网（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r>
        <w:rPr>
          <w:rFonts w:hint="eastAsia" w:ascii="宋体" w:hAnsi="宋体" w:cs="宋体"/>
          <w:b/>
          <w:color w:val="auto"/>
          <w:sz w:val="22"/>
          <w:highlight w:val="none"/>
          <w:u w:val="single"/>
        </w:rPr>
        <w:t>。</w:t>
      </w:r>
    </w:p>
    <w:p w14:paraId="1184836E">
      <w:pPr>
        <w:widowControl/>
        <w:tabs>
          <w:tab w:val="left" w:pos="1069"/>
          <w:tab w:val="left" w:pos="2352"/>
        </w:tabs>
        <w:snapToGrid w:val="0"/>
        <w:spacing w:line="400" w:lineRule="atLeast"/>
        <w:ind w:firstLine="446" w:firstLineChars="200"/>
        <w:jc w:val="left"/>
        <w:rPr>
          <w:rFonts w:ascii="宋体" w:hAnsi="宋体" w:cs="宋体"/>
          <w:b/>
          <w:color w:val="auto"/>
          <w:sz w:val="22"/>
          <w:highlight w:val="none"/>
          <w:u w:val="single"/>
        </w:rPr>
      </w:pPr>
      <w:r>
        <w:rPr>
          <w:rFonts w:hint="eastAsia" w:ascii="宋体" w:hAnsi="宋体" w:cs="宋体"/>
          <w:b/>
          <w:color w:val="auto"/>
          <w:sz w:val="22"/>
          <w:highlight w:val="none"/>
          <w:u w:val="single"/>
        </w:rPr>
        <w:t>4）未被各级财政部门列入政府采购黑名单或被各级财政部门禁止参加政府采购项目投标。</w:t>
      </w:r>
      <w:r>
        <w:rPr>
          <w:rFonts w:hint="eastAsia" w:ascii="宋体" w:hAnsi="宋体" w:cs="宋体"/>
          <w:color w:val="auto"/>
          <w:sz w:val="22"/>
          <w:highlight w:val="none"/>
        </w:rPr>
        <w:t>▲</w:t>
      </w:r>
      <w:r>
        <w:rPr>
          <w:rFonts w:hint="eastAsia" w:ascii="宋体" w:hAnsi="宋体" w:cs="宋体"/>
          <w:b/>
          <w:color w:val="auto"/>
          <w:sz w:val="22"/>
          <w:highlight w:val="none"/>
          <w:u w:val="single"/>
        </w:rPr>
        <w:t>如供应商有上述情形并参与本项目投标的，一经查实，其投标</w:t>
      </w:r>
      <w:r>
        <w:rPr>
          <w:rFonts w:hint="eastAsia" w:ascii="宋体" w:hAnsi="宋体" w:cs="宋体"/>
          <w:b/>
          <w:color w:val="auto"/>
          <w:sz w:val="22"/>
          <w:highlight w:val="none"/>
          <w:u w:val="single"/>
          <w:lang w:eastAsia="zh-CN"/>
        </w:rPr>
        <w:t>作</w:t>
      </w:r>
      <w:r>
        <w:rPr>
          <w:rFonts w:hint="eastAsia" w:ascii="宋体" w:hAnsi="宋体" w:cs="宋体"/>
          <w:b/>
          <w:color w:val="auto"/>
          <w:sz w:val="22"/>
          <w:highlight w:val="none"/>
          <w:u w:val="single"/>
        </w:rPr>
        <w:t>无效投标处理。</w:t>
      </w:r>
    </w:p>
    <w:p w14:paraId="6A1231FA">
      <w:pPr>
        <w:widowControl/>
        <w:tabs>
          <w:tab w:val="left" w:pos="1069"/>
          <w:tab w:val="left" w:pos="2352"/>
        </w:tabs>
        <w:snapToGrid w:val="0"/>
        <w:spacing w:line="380" w:lineRule="exact"/>
        <w:ind w:firstLine="446" w:firstLineChars="200"/>
        <w:rPr>
          <w:rFonts w:ascii="宋体" w:hAnsi="宋体" w:cs="宋体"/>
          <w:color w:val="auto"/>
          <w:sz w:val="22"/>
          <w:highlight w:val="none"/>
          <w:u w:val="single"/>
        </w:rPr>
      </w:pPr>
      <w:r>
        <w:rPr>
          <w:rFonts w:hint="eastAsia" w:ascii="宋体" w:hAnsi="宋体" w:cs="宋体"/>
          <w:b/>
          <w:color w:val="auto"/>
          <w:sz w:val="22"/>
          <w:highlight w:val="none"/>
        </w:rPr>
        <w:t>9.</w:t>
      </w:r>
      <w:r>
        <w:rPr>
          <w:rFonts w:hint="eastAsia" w:ascii="宋体" w:hAnsi="宋体" w:cs="宋体"/>
          <w:color w:val="auto"/>
          <w:sz w:val="22"/>
          <w:highlight w:val="none"/>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76E64EC0">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rPr>
        <w:t>10</w:t>
      </w:r>
      <w:r>
        <w:rPr>
          <w:rFonts w:hint="eastAsia" w:ascii="宋体" w:hAnsi="宋体" w:cs="宋体"/>
          <w:color w:val="auto"/>
          <w:sz w:val="22"/>
          <w:highlight w:val="none"/>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0485799B">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8"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、竞争性磋商文件</w:t>
      </w:r>
      <w:bookmarkEnd w:id="8"/>
    </w:p>
    <w:p w14:paraId="6BAD7011">
      <w:pPr>
        <w:tabs>
          <w:tab w:val="left" w:pos="1069"/>
          <w:tab w:val="left" w:pos="2352"/>
        </w:tabs>
        <w:spacing w:line="400" w:lineRule="atLeast"/>
        <w:ind w:firstLine="446" w:firstLineChars="200"/>
        <w:rPr>
          <w:rFonts w:ascii="宋体" w:hAnsi="宋体" w:cs="宋体"/>
          <w:color w:val="auto"/>
          <w:sz w:val="22"/>
          <w:highlight w:val="none"/>
        </w:rPr>
      </w:pPr>
      <w:bookmarkStart w:id="9" w:name="_Toc24610_WPSOffice_Level3"/>
      <w:r>
        <w:rPr>
          <w:rFonts w:hint="eastAsia" w:ascii="宋体" w:hAnsi="宋体" w:cs="宋体"/>
          <w:color w:val="auto"/>
          <w:sz w:val="22"/>
          <w:highlight w:val="none"/>
          <w:lang w:val="zh-CN"/>
        </w:rPr>
        <w:t>1.竞争性磋商文件</w:t>
      </w:r>
      <w:bookmarkEnd w:id="9"/>
    </w:p>
    <w:p w14:paraId="6C54FAEE">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竞争性磋商文件的发放</w:t>
      </w:r>
    </w:p>
    <w:p w14:paraId="4AE61970">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竞争性磋商文件。</w:t>
      </w:r>
    </w:p>
    <w:p w14:paraId="46C42B29">
      <w:pPr>
        <w:tabs>
          <w:tab w:val="left" w:pos="1069"/>
          <w:tab w:val="left" w:pos="2352"/>
        </w:tabs>
        <w:autoSpaceDE w:val="0"/>
        <w:autoSpaceDN w:val="0"/>
        <w:adjustRightInd w:val="0"/>
        <w:spacing w:line="400" w:lineRule="atLeast"/>
        <w:ind w:firstLine="446" w:firstLineChars="200"/>
        <w:textAlignment w:val="bottom"/>
        <w:outlineLvl w:val="1"/>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竞争性磋商文件约束力</w:t>
      </w:r>
    </w:p>
    <w:p w14:paraId="4B63785D">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u w:val="single"/>
          <w:lang w:val="zh-CN"/>
        </w:rPr>
      </w:pPr>
      <w:r>
        <w:rPr>
          <w:rFonts w:hint="eastAsia" w:ascii="宋体" w:hAnsi="宋体" w:cs="宋体"/>
          <w:b/>
          <w:color w:val="auto"/>
          <w:sz w:val="22"/>
          <w:highlight w:val="none"/>
          <w:u w:val="single"/>
          <w:lang w:val="zh-CN"/>
        </w:rPr>
        <w:t>供应商</w:t>
      </w:r>
      <w:r>
        <w:rPr>
          <w:rFonts w:hint="eastAsia" w:ascii="宋体" w:hAnsi="宋体" w:cs="宋体"/>
          <w:b/>
          <w:color w:val="auto"/>
          <w:sz w:val="22"/>
          <w:highlight w:val="none"/>
          <w:u w:val="single"/>
        </w:rPr>
        <w:t>一旦获取了本项目竞争性磋商文件，在质疑期内未</w:t>
      </w:r>
      <w:r>
        <w:rPr>
          <w:rFonts w:hint="eastAsia" w:ascii="宋体" w:hAnsi="宋体" w:cs="宋体"/>
          <w:b/>
          <w:color w:val="auto"/>
          <w:sz w:val="22"/>
          <w:highlight w:val="none"/>
          <w:u w:val="single"/>
          <w:lang w:eastAsia="zh-CN"/>
        </w:rPr>
        <w:t>质疑</w:t>
      </w:r>
      <w:r>
        <w:rPr>
          <w:rFonts w:hint="eastAsia" w:ascii="宋体" w:hAnsi="宋体" w:cs="宋体"/>
          <w:b/>
          <w:color w:val="auto"/>
          <w:sz w:val="22"/>
          <w:highlight w:val="none"/>
          <w:u w:val="single"/>
        </w:rPr>
        <w:t>，并参加投标，即被认为接受了本竞争性磋商文件中所有条款和规定。</w:t>
      </w:r>
    </w:p>
    <w:p w14:paraId="5003D982">
      <w:pPr>
        <w:tabs>
          <w:tab w:val="left" w:pos="1069"/>
          <w:tab w:val="left" w:pos="2352"/>
        </w:tabs>
        <w:autoSpaceDE w:val="0"/>
        <w:autoSpaceDN w:val="0"/>
        <w:adjustRightInd w:val="0"/>
        <w:spacing w:line="400" w:lineRule="atLeast"/>
        <w:ind w:firstLine="669" w:firstLineChars="300"/>
        <w:rPr>
          <w:rFonts w:ascii="宋体" w:hAnsi="宋体" w:cs="宋体"/>
          <w:color w:val="auto"/>
          <w:sz w:val="22"/>
          <w:highlight w:val="none"/>
          <w:lang w:val="zh-CN"/>
        </w:rPr>
      </w:pPr>
      <w:bookmarkStart w:id="10" w:name="_Toc9317_WPSOffice_Level3"/>
      <w:r>
        <w:rPr>
          <w:rFonts w:hint="eastAsia" w:ascii="宋体" w:hAnsi="宋体" w:cs="宋体"/>
          <w:color w:val="auto"/>
          <w:sz w:val="22"/>
          <w:highlight w:val="none"/>
          <w:lang w:val="zh-CN"/>
        </w:rPr>
        <w:t>2.竞争性磋商文件的澄清</w:t>
      </w:r>
      <w:bookmarkEnd w:id="10"/>
    </w:p>
    <w:p w14:paraId="4551B0B9">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3E68E6CB">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bookmarkStart w:id="11" w:name="_Toc6226_WPSOffice_Level3"/>
      <w:r>
        <w:rPr>
          <w:rFonts w:hint="eastAsia" w:ascii="宋体" w:hAnsi="宋体" w:cs="宋体"/>
          <w:color w:val="auto"/>
          <w:sz w:val="22"/>
          <w:highlight w:val="none"/>
          <w:lang w:val="zh-CN"/>
        </w:rPr>
        <w:t>3.竞争性磋商文件的修改</w:t>
      </w:r>
      <w:bookmarkEnd w:id="11"/>
    </w:p>
    <w:p w14:paraId="747A4063">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在投标截止时间之前，采购人或采购机构有权修改竞争性磋商文件，并通知供应商。补充文件作为竞争性磋商文件的补充和组成部分，对所有供应商均有约束力。</w:t>
      </w:r>
    </w:p>
    <w:p w14:paraId="75EB4EE7">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为使供应商有足够的时间按竞争性磋商文件要求修正投标（响应）文件，采购人按相关规定推迟投标截止时间和开标时间，并将此变更通知放至相关网站公示。</w:t>
      </w:r>
    </w:p>
    <w:p w14:paraId="263F752E">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12"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12"/>
      <w:r>
        <w:rPr>
          <w:rFonts w:hint="eastAsia" w:ascii="宋体" w:hAnsi="宋体" w:cs="宋体"/>
          <w:b/>
          <w:color w:val="auto"/>
          <w:sz w:val="22"/>
          <w:highlight w:val="none"/>
          <w:lang w:val="zh-CN"/>
        </w:rPr>
        <w:t>投标（响应）文件</w:t>
      </w:r>
    </w:p>
    <w:p w14:paraId="508799E2">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1.投标（响应）文件</w:t>
      </w:r>
    </w:p>
    <w:p w14:paraId="7D11C022">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22BE5F82">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6CC33C60">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16535448">
      <w:pPr>
        <w:tabs>
          <w:tab w:val="left" w:pos="1069"/>
          <w:tab w:val="left" w:pos="2352"/>
        </w:tabs>
        <w:autoSpaceDE w:val="0"/>
        <w:autoSpaceDN w:val="0"/>
        <w:adjustRightInd w:val="0"/>
        <w:snapToGri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2.投标（响应）文件的组成</w:t>
      </w:r>
    </w:p>
    <w:p w14:paraId="44EE0AD7">
      <w:pPr>
        <w:tabs>
          <w:tab w:val="left" w:pos="1069"/>
          <w:tab w:val="left" w:pos="2352"/>
        </w:tabs>
        <w:autoSpaceDE w:val="0"/>
        <w:autoSpaceDN w:val="0"/>
        <w:adjustRightInd w:val="0"/>
        <w:snapToGrid w:val="0"/>
        <w:spacing w:line="400" w:lineRule="atLeast"/>
        <w:ind w:firstLine="446" w:firstLineChars="200"/>
        <w:rPr>
          <w:rFonts w:ascii="宋体" w:hAnsi="宋体" w:cs="宋体"/>
          <w:b/>
          <w:bCs/>
          <w:color w:val="auto"/>
          <w:sz w:val="22"/>
          <w:highlight w:val="none"/>
          <w:u w:val="single"/>
          <w:lang w:val="zh-CN"/>
        </w:rPr>
      </w:pPr>
      <w:r>
        <w:rPr>
          <w:rFonts w:hint="eastAsia" w:ascii="宋体" w:hAnsi="宋体" w:cs="宋体"/>
          <w:b/>
          <w:bCs/>
          <w:color w:val="auto"/>
          <w:sz w:val="22"/>
          <w:highlight w:val="none"/>
          <w:u w:val="single"/>
        </w:rPr>
        <w:t>投标文件由《资格文件》《商务技术文件》《报价文件》三部分组成。</w:t>
      </w:r>
    </w:p>
    <w:p w14:paraId="05418FE2">
      <w:pPr>
        <w:tabs>
          <w:tab w:val="left" w:pos="1069"/>
          <w:tab w:val="left" w:pos="2352"/>
        </w:tabs>
        <w:autoSpaceDE w:val="0"/>
        <w:autoSpaceDN w:val="0"/>
        <w:adjustRightInd w:val="0"/>
        <w:snapToGri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2.1</w:t>
      </w:r>
      <w:r>
        <w:rPr>
          <w:rFonts w:hint="eastAsia" w:ascii="宋体" w:hAnsi="宋体" w:cs="宋体"/>
          <w:color w:val="auto"/>
          <w:sz w:val="22"/>
          <w:highlight w:val="none"/>
        </w:rPr>
        <w:t xml:space="preserve"> </w:t>
      </w:r>
      <w:r>
        <w:rPr>
          <w:rFonts w:hint="eastAsia" w:ascii="宋体" w:hAnsi="宋体" w:cs="宋体"/>
          <w:b/>
          <w:bCs/>
          <w:color w:val="auto"/>
          <w:sz w:val="22"/>
          <w:highlight w:val="none"/>
        </w:rPr>
        <w:t>《报价文件》</w:t>
      </w:r>
      <w:r>
        <w:rPr>
          <w:rFonts w:hint="eastAsia" w:ascii="宋体" w:hAnsi="宋体" w:cs="宋体"/>
          <w:b/>
          <w:bCs/>
          <w:color w:val="auto"/>
          <w:sz w:val="22"/>
          <w:highlight w:val="none"/>
          <w:lang w:val="zh-CN"/>
        </w:rPr>
        <w:t>组成</w:t>
      </w:r>
    </w:p>
    <w:tbl>
      <w:tblPr>
        <w:tblStyle w:val="2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772D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425929BE">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bookmarkStart w:id="13" w:name="_Toc132122410"/>
            <w:bookmarkStart w:id="14" w:name="_Toc132122113"/>
            <w:r>
              <w:rPr>
                <w:rFonts w:hint="eastAsia" w:ascii="宋体" w:hAnsi="宋体" w:cs="宋体"/>
                <w:color w:val="auto"/>
                <w:sz w:val="22"/>
                <w:highlight w:val="none"/>
                <w:lang w:val="zh-CN"/>
              </w:rPr>
              <w:t>序号</w:t>
            </w:r>
          </w:p>
        </w:tc>
        <w:tc>
          <w:tcPr>
            <w:tcW w:w="8736" w:type="dxa"/>
          </w:tcPr>
          <w:p w14:paraId="67910865">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w:t>
            </w:r>
            <w:r>
              <w:rPr>
                <w:rFonts w:hint="eastAsia" w:ascii="宋体" w:hAnsi="宋体" w:cs="宋体"/>
                <w:color w:val="auto"/>
                <w:sz w:val="22"/>
                <w:highlight w:val="none"/>
              </w:rPr>
              <w:t>1-2</w:t>
            </w:r>
            <w:r>
              <w:rPr>
                <w:rFonts w:hint="eastAsia" w:ascii="宋体" w:hAnsi="宋体" w:cs="宋体"/>
                <w:color w:val="auto"/>
                <w:sz w:val="22"/>
                <w:highlight w:val="none"/>
                <w:lang w:val="zh-CN"/>
              </w:rPr>
              <w:t>项供应商必须提供，否则不能通过符合性审查的，责任自负）</w:t>
            </w:r>
          </w:p>
        </w:tc>
      </w:tr>
      <w:tr w14:paraId="46A6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423B41E">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3E5FFDF">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开标（报价）一览表（附件一）</w:t>
            </w:r>
          </w:p>
        </w:tc>
      </w:tr>
      <w:tr w14:paraId="4B01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1907A95">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5ACA0EDB">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投标分项报价表（附件二）</w:t>
            </w:r>
          </w:p>
        </w:tc>
      </w:tr>
      <w:bookmarkEnd w:id="13"/>
      <w:bookmarkEnd w:id="14"/>
    </w:tbl>
    <w:p w14:paraId="128A00F9">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2.2 </w:t>
      </w:r>
      <w:r>
        <w:rPr>
          <w:rFonts w:hint="eastAsia" w:ascii="宋体" w:hAnsi="宋体" w:cs="宋体"/>
          <w:b/>
          <w:bCs/>
          <w:color w:val="auto"/>
          <w:sz w:val="22"/>
          <w:highlight w:val="none"/>
        </w:rPr>
        <w:t>《资格文件》组成</w:t>
      </w:r>
    </w:p>
    <w:tbl>
      <w:tblPr>
        <w:tblStyle w:val="2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B02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42D1FC0">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5557E6E3">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color w:val="auto"/>
                <w:sz w:val="22"/>
                <w:highlight w:val="none"/>
              </w:rPr>
              <w:t>下列</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项</w:t>
            </w:r>
            <w:r>
              <w:rPr>
                <w:rFonts w:hint="eastAsia" w:ascii="宋体" w:hAnsi="宋体" w:cs="宋体"/>
                <w:color w:val="auto"/>
                <w:sz w:val="22"/>
                <w:highlight w:val="none"/>
                <w:lang w:val="zh-CN"/>
              </w:rPr>
              <w:t>供应商必须提供，否则不能通过符合性审查的，责任自负）</w:t>
            </w:r>
          </w:p>
        </w:tc>
      </w:tr>
      <w:tr w14:paraId="05B9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448D8B25">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C438778">
            <w:pPr>
              <w:autoSpaceDE w:val="0"/>
              <w:autoSpaceDN w:val="0"/>
              <w:adjustRightInd w:val="0"/>
              <w:spacing w:line="260" w:lineRule="exact"/>
              <w:jc w:val="left"/>
              <w:textAlignment w:val="bottom"/>
              <w:rPr>
                <w:rFonts w:hint="eastAsia" w:ascii="宋体" w:hAnsi="宋体" w:eastAsia="宋体" w:cs="Arial"/>
                <w:color w:val="auto"/>
                <w:sz w:val="22"/>
                <w:highlight w:val="none"/>
                <w:lang w:val="zh-CN"/>
              </w:rPr>
            </w:pPr>
            <w:r>
              <w:rPr>
                <w:rFonts w:hint="eastAsia" w:ascii="宋体" w:hAnsi="宋体" w:eastAsia="宋体" w:cs="Arial"/>
                <w:color w:val="auto"/>
                <w:sz w:val="22"/>
                <w:highlight w:val="none"/>
              </w:rPr>
              <w:t>供应商</w:t>
            </w:r>
            <w:r>
              <w:rPr>
                <w:rFonts w:hint="eastAsia" w:ascii="宋体" w:hAnsi="宋体" w:cs="Arial"/>
                <w:color w:val="auto"/>
                <w:sz w:val="22"/>
                <w:highlight w:val="none"/>
                <w:lang w:val="en-US" w:eastAsia="zh-CN"/>
              </w:rPr>
              <w:t>营</w:t>
            </w:r>
            <w:r>
              <w:rPr>
                <w:rFonts w:hint="eastAsia" w:ascii="宋体" w:hAnsi="宋体" w:eastAsia="宋体" w:cs="Arial"/>
                <w:color w:val="auto"/>
                <w:sz w:val="22"/>
                <w:highlight w:val="none"/>
              </w:rPr>
              <w:t>业执照</w:t>
            </w:r>
            <w:r>
              <w:rPr>
                <w:rFonts w:hint="eastAsia" w:ascii="宋体" w:hAnsi="宋体" w:eastAsia="宋体" w:cs="Arial"/>
                <w:color w:val="auto"/>
                <w:sz w:val="22"/>
                <w:highlight w:val="none"/>
                <w:lang w:eastAsia="zh-CN"/>
              </w:rPr>
              <w:t>（</w:t>
            </w:r>
            <w:r>
              <w:rPr>
                <w:rFonts w:hint="eastAsia" w:ascii="宋体" w:hAnsi="宋体" w:eastAsia="宋体" w:cs="Arial"/>
                <w:color w:val="auto"/>
                <w:sz w:val="22"/>
                <w:highlight w:val="none"/>
                <w:lang w:val="en-US" w:eastAsia="zh-CN"/>
              </w:rPr>
              <w:t>或事业单位登记证书等</w:t>
            </w:r>
            <w:r>
              <w:rPr>
                <w:rFonts w:hint="eastAsia" w:ascii="宋体" w:hAnsi="宋体" w:eastAsia="宋体" w:cs="Arial"/>
                <w:color w:val="auto"/>
                <w:sz w:val="22"/>
                <w:highlight w:val="none"/>
                <w:lang w:eastAsia="zh-CN"/>
              </w:rPr>
              <w:t>）</w:t>
            </w:r>
            <w:r>
              <w:rPr>
                <w:rFonts w:hint="eastAsia" w:ascii="宋体" w:hAnsi="宋体" w:eastAsia="宋体" w:cs="Arial"/>
                <w:color w:val="auto"/>
                <w:sz w:val="22"/>
                <w:highlight w:val="none"/>
              </w:rPr>
              <w:t>、税务登记证（如为多证合一仅需提供营业执照）</w:t>
            </w:r>
          </w:p>
        </w:tc>
      </w:tr>
      <w:tr w14:paraId="3993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4395B9E9">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545B811">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符合参加政府采购活动应当具备的一般条件的承诺函（附件三）</w:t>
            </w:r>
          </w:p>
        </w:tc>
      </w:tr>
      <w:tr w14:paraId="5894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55DFC12B">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617A68C1">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供应商“信用中国”(</w:t>
            </w:r>
            <w:r>
              <w:rPr>
                <w:rFonts w:hint="eastAsia" w:ascii="宋体" w:hAnsi="宋体" w:eastAsia="宋体" w:cs="Arial"/>
                <w:color w:val="auto"/>
                <w:sz w:val="22"/>
                <w:highlight w:val="none"/>
              </w:rPr>
              <w:fldChar w:fldCharType="begin"/>
            </w:r>
            <w:r>
              <w:rPr>
                <w:rFonts w:hint="eastAsia" w:ascii="宋体" w:hAnsi="宋体" w:eastAsia="宋体" w:cs="Arial"/>
                <w:color w:val="auto"/>
                <w:sz w:val="22"/>
                <w:highlight w:val="none"/>
              </w:rPr>
              <w:instrText xml:space="preserve">HYPERLINK "http://www.creditchina.gov.cn"</w:instrText>
            </w:r>
            <w:r>
              <w:rPr>
                <w:rFonts w:hint="eastAsia" w:ascii="宋体" w:hAnsi="宋体" w:eastAsia="宋体" w:cs="Arial"/>
                <w:color w:val="auto"/>
                <w:sz w:val="22"/>
                <w:highlight w:val="none"/>
              </w:rPr>
              <w:fldChar w:fldCharType="separate"/>
            </w:r>
            <w:r>
              <w:rPr>
                <w:rFonts w:hint="eastAsia" w:ascii="宋体" w:hAnsi="宋体" w:eastAsia="宋体" w:cs="Arial"/>
                <w:color w:val="auto"/>
                <w:sz w:val="22"/>
                <w:highlight w:val="none"/>
              </w:rPr>
              <w:t>www.creditchina.gov.cn</w:t>
            </w:r>
            <w:r>
              <w:rPr>
                <w:rFonts w:hint="eastAsia" w:ascii="宋体" w:hAnsi="宋体" w:eastAsia="宋体" w:cs="Arial"/>
                <w:color w:val="auto"/>
                <w:sz w:val="22"/>
                <w:highlight w:val="none"/>
              </w:rPr>
              <w:fldChar w:fldCharType="end"/>
            </w:r>
            <w:r>
              <w:rPr>
                <w:rFonts w:hint="eastAsia" w:ascii="宋体" w:hAnsi="宋体" w:eastAsia="宋体" w:cs="Arial"/>
                <w:color w:val="auto"/>
                <w:sz w:val="22"/>
                <w:highlight w:val="none"/>
              </w:rPr>
              <w:t>)；“中国政府采购网”（http://www.ccgp.gov.cn/）信用记录网页截图（招标公告发布之日至投标截止时间前均可）</w:t>
            </w:r>
          </w:p>
        </w:tc>
      </w:tr>
      <w:tr w14:paraId="3CCC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69F270A0">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62B633A">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法定代表人授权书（附件四）</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若法定代表人直接参与的无需提供此项</w:t>
            </w:r>
            <w:r>
              <w:rPr>
                <w:rFonts w:hint="eastAsia" w:ascii="宋体" w:hAnsi="宋体" w:eastAsia="宋体" w:cs="宋体"/>
                <w:color w:val="auto"/>
                <w:sz w:val="22"/>
                <w:highlight w:val="none"/>
                <w:lang w:eastAsia="zh-CN"/>
              </w:rPr>
              <w:t>）</w:t>
            </w:r>
          </w:p>
        </w:tc>
      </w:tr>
      <w:tr w14:paraId="1C3A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42EE0476">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600A8AD">
            <w:pPr>
              <w:autoSpaceDE w:val="0"/>
              <w:autoSpaceDN w:val="0"/>
              <w:adjustRightInd w:val="0"/>
              <w:spacing w:line="260" w:lineRule="exact"/>
              <w:jc w:val="lef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中小企业（含监狱企业、残疾人福利性单位）提供以下相关的证明材料：</w:t>
            </w:r>
          </w:p>
          <w:p w14:paraId="14AA5318">
            <w:pPr>
              <w:autoSpaceDE w:val="0"/>
              <w:autoSpaceDN w:val="0"/>
              <w:adjustRightInd w:val="0"/>
              <w:spacing w:line="260" w:lineRule="exact"/>
              <w:jc w:val="lef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（1）中小企业</w:t>
            </w:r>
          </w:p>
          <w:p w14:paraId="1809E72C">
            <w:pPr>
              <w:autoSpaceDE w:val="0"/>
              <w:autoSpaceDN w:val="0"/>
              <w:adjustRightInd w:val="0"/>
              <w:spacing w:line="260" w:lineRule="exact"/>
              <w:jc w:val="lef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42661C21">
            <w:pPr>
              <w:autoSpaceDE w:val="0"/>
              <w:autoSpaceDN w:val="0"/>
              <w:adjustRightInd w:val="0"/>
              <w:spacing w:line="260" w:lineRule="exact"/>
              <w:jc w:val="lef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享受评审中价格扣除政策。</w:t>
            </w:r>
          </w:p>
          <w:p w14:paraId="1375CD0C">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lang w:eastAsia="zh-CN"/>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（3）残疾人福利性单位声明函（原件，加盖供应商公章，格式见招标文件第四部分附件2）。在政府采购活动中，残疾人福利性单位视同小型、微型企业，享受评审中价格扣除政策。</w:t>
            </w:r>
          </w:p>
        </w:tc>
      </w:tr>
    </w:tbl>
    <w:p w14:paraId="70327183">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2.3 </w:t>
      </w:r>
      <w:r>
        <w:rPr>
          <w:rFonts w:hint="eastAsia" w:ascii="宋体" w:hAnsi="宋体" w:cs="宋体"/>
          <w:b/>
          <w:bCs/>
          <w:color w:val="auto"/>
          <w:sz w:val="22"/>
          <w:highlight w:val="none"/>
        </w:rPr>
        <w:t>《商务技术文件》组成</w:t>
      </w:r>
    </w:p>
    <w:tbl>
      <w:tblPr>
        <w:tblStyle w:val="26"/>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080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2E6FC442">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6B12D2C0">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内容（▲序号1</w:t>
            </w:r>
            <w:r>
              <w:rPr>
                <w:rFonts w:hint="eastAsia" w:ascii="宋体" w:hAnsi="宋体" w:cs="宋体"/>
                <w:color w:val="auto"/>
                <w:sz w:val="22"/>
                <w:highlight w:val="none"/>
              </w:rPr>
              <w:t>-6</w:t>
            </w:r>
            <w:r>
              <w:rPr>
                <w:rFonts w:hint="eastAsia" w:ascii="宋体" w:hAnsi="宋体" w:cs="宋体"/>
                <w:color w:val="auto"/>
                <w:sz w:val="22"/>
                <w:highlight w:val="none"/>
                <w:lang w:val="zh-CN"/>
              </w:rPr>
              <w:t>项供应商必须提供，否则不能通过符合性审查的，责任自负）</w:t>
            </w:r>
          </w:p>
        </w:tc>
      </w:tr>
      <w:tr w14:paraId="3F71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tcPr>
          <w:p w14:paraId="77995A62">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F66A22F">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报价函（附件</w:t>
            </w:r>
            <w:r>
              <w:rPr>
                <w:rFonts w:hint="eastAsia" w:ascii="宋体" w:hAnsi="宋体" w:cs="宋体"/>
                <w:b/>
                <w:bCs/>
                <w:color w:val="auto"/>
                <w:sz w:val="22"/>
                <w:highlight w:val="none"/>
                <w:lang w:val="en-US" w:eastAsia="zh-CN"/>
              </w:rPr>
              <w:t>五</w:t>
            </w:r>
            <w:r>
              <w:rPr>
                <w:rFonts w:hint="eastAsia" w:ascii="宋体" w:hAnsi="宋体" w:cs="宋体"/>
                <w:b/>
                <w:bCs/>
                <w:color w:val="auto"/>
                <w:sz w:val="22"/>
                <w:highlight w:val="none"/>
              </w:rPr>
              <w:t>）</w:t>
            </w:r>
          </w:p>
        </w:tc>
      </w:tr>
      <w:tr w14:paraId="5533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A1F3FD4">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A250EB3">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供应商参与政府采购活动投标资格声明（附件</w:t>
            </w:r>
            <w:r>
              <w:rPr>
                <w:rFonts w:hint="eastAsia" w:ascii="宋体" w:hAnsi="宋体" w:cs="宋体"/>
                <w:b/>
                <w:bCs/>
                <w:color w:val="auto"/>
                <w:sz w:val="22"/>
                <w:highlight w:val="none"/>
                <w:lang w:val="en-US" w:eastAsia="zh-CN"/>
              </w:rPr>
              <w:t>六</w:t>
            </w:r>
            <w:r>
              <w:rPr>
                <w:rFonts w:hint="eastAsia" w:ascii="宋体" w:hAnsi="宋体" w:cs="宋体"/>
                <w:b/>
                <w:bCs/>
                <w:color w:val="auto"/>
                <w:sz w:val="22"/>
                <w:highlight w:val="none"/>
              </w:rPr>
              <w:t>）</w:t>
            </w:r>
          </w:p>
        </w:tc>
      </w:tr>
      <w:tr w14:paraId="09E8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7234B55">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5A7EE928">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法定代表人诚信投标承诺书（附件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w:t>
            </w:r>
          </w:p>
        </w:tc>
      </w:tr>
      <w:tr w14:paraId="29E7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850892">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E956CB8">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商务偏离表（附件</w:t>
            </w:r>
            <w:r>
              <w:rPr>
                <w:rFonts w:hint="eastAsia" w:ascii="宋体" w:hAnsi="宋体" w:cs="宋体"/>
                <w:b/>
                <w:bCs/>
                <w:color w:val="auto"/>
                <w:sz w:val="22"/>
                <w:highlight w:val="none"/>
                <w:lang w:val="en-US" w:eastAsia="zh-CN"/>
              </w:rPr>
              <w:t>八</w:t>
            </w:r>
            <w:r>
              <w:rPr>
                <w:rFonts w:hint="eastAsia" w:ascii="宋体" w:hAnsi="宋体" w:cs="宋体"/>
                <w:b/>
                <w:bCs/>
                <w:color w:val="auto"/>
                <w:sz w:val="22"/>
                <w:highlight w:val="none"/>
              </w:rPr>
              <w:t>（一））、技术偏离表（附件</w:t>
            </w:r>
            <w:r>
              <w:rPr>
                <w:rFonts w:hint="eastAsia" w:ascii="宋体" w:hAnsi="宋体" w:cs="宋体"/>
                <w:b/>
                <w:bCs/>
                <w:color w:val="auto"/>
                <w:sz w:val="22"/>
                <w:highlight w:val="none"/>
                <w:lang w:val="en-US" w:eastAsia="zh-CN"/>
              </w:rPr>
              <w:t>八</w:t>
            </w:r>
            <w:r>
              <w:rPr>
                <w:rFonts w:hint="eastAsia" w:ascii="宋体" w:hAnsi="宋体" w:cs="宋体"/>
                <w:b/>
                <w:bCs/>
                <w:color w:val="auto"/>
                <w:sz w:val="22"/>
                <w:highlight w:val="none"/>
              </w:rPr>
              <w:t>（二））</w:t>
            </w:r>
          </w:p>
        </w:tc>
      </w:tr>
      <w:tr w14:paraId="4716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B7DD871">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8A6CB37">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b/>
                <w:bCs/>
                <w:color w:val="auto"/>
                <w:sz w:val="22"/>
                <w:highlight w:val="none"/>
              </w:rPr>
              <w:t>技术方案</w:t>
            </w:r>
          </w:p>
        </w:tc>
      </w:tr>
      <w:tr w14:paraId="71D9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7CA859F">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E823F60">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供应商项目服务人员汇总表（附件</w:t>
            </w:r>
            <w:r>
              <w:rPr>
                <w:rFonts w:hint="eastAsia" w:ascii="宋体" w:hAnsi="宋体" w:cs="宋体"/>
                <w:b/>
                <w:bCs/>
                <w:color w:val="auto"/>
                <w:sz w:val="22"/>
                <w:highlight w:val="none"/>
                <w:lang w:val="en-US" w:eastAsia="zh-CN"/>
              </w:rPr>
              <w:t>九</w:t>
            </w:r>
            <w:r>
              <w:rPr>
                <w:rFonts w:hint="eastAsia" w:ascii="宋体" w:hAnsi="宋体" w:cs="宋体"/>
                <w:b/>
                <w:bCs/>
                <w:color w:val="auto"/>
                <w:sz w:val="22"/>
                <w:highlight w:val="none"/>
              </w:rPr>
              <w:t>）；</w:t>
            </w:r>
          </w:p>
        </w:tc>
      </w:tr>
      <w:tr w14:paraId="5714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18FD47">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A209B2E">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距离采购人最近的服务机构的详细介绍、服务机构总负责人，电话，地址，技术力量配置等；</w:t>
            </w:r>
          </w:p>
        </w:tc>
      </w:tr>
      <w:tr w14:paraId="73CA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7C7E9A7">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C10E06B">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供应商质量体系认证证书、供应商环境体系认证证书、供应商职业健康体系认证证书（（如有则提供）</w:t>
            </w:r>
          </w:p>
        </w:tc>
      </w:tr>
      <w:tr w14:paraId="41B3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1427474">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4F1E550D">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供应商项目业绩清单，如有（附件十）</w:t>
            </w:r>
          </w:p>
        </w:tc>
      </w:tr>
      <w:tr w14:paraId="0C5D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F973DE4">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E70F437">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供应商具有的</w:t>
            </w:r>
            <w:r>
              <w:rPr>
                <w:rFonts w:hint="eastAsia" w:ascii="宋体" w:hAnsi="宋体" w:cs="宋体"/>
                <w:color w:val="auto"/>
                <w:sz w:val="22"/>
                <w:highlight w:val="none"/>
                <w:lang w:eastAsia="zh-CN"/>
              </w:rPr>
              <w:t>其他</w:t>
            </w:r>
            <w:r>
              <w:rPr>
                <w:rFonts w:hint="eastAsia" w:ascii="宋体" w:hAnsi="宋体" w:cs="宋体"/>
                <w:color w:val="auto"/>
                <w:sz w:val="22"/>
                <w:highlight w:val="none"/>
              </w:rPr>
              <w:t>相关资质证书（如有则提供）</w:t>
            </w:r>
          </w:p>
        </w:tc>
      </w:tr>
      <w:tr w14:paraId="2665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BD60565">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49E9D89">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根据竞争性磋商文件中的采购内容与技术要求、评标细则，需要提供的其它文件和资料。</w:t>
            </w:r>
          </w:p>
        </w:tc>
      </w:tr>
      <w:tr w14:paraId="3F57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A99F20E">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0544C0DF">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lang w:eastAsia="zh-CN"/>
              </w:rPr>
              <w:t>其他</w:t>
            </w:r>
            <w:r>
              <w:rPr>
                <w:rFonts w:hint="eastAsia" w:ascii="宋体" w:hAnsi="宋体" w:cs="宋体"/>
                <w:color w:val="auto"/>
                <w:sz w:val="22"/>
                <w:highlight w:val="none"/>
              </w:rPr>
              <w:t>供应商</w:t>
            </w:r>
            <w:r>
              <w:rPr>
                <w:rFonts w:hint="eastAsia" w:ascii="宋体" w:hAnsi="宋体" w:cs="宋体"/>
                <w:color w:val="auto"/>
                <w:sz w:val="22"/>
                <w:highlight w:val="none"/>
                <w:lang w:eastAsia="zh-CN"/>
              </w:rPr>
              <w:t>需</w:t>
            </w:r>
            <w:r>
              <w:rPr>
                <w:rFonts w:hint="eastAsia" w:ascii="宋体" w:hAnsi="宋体" w:cs="宋体"/>
                <w:color w:val="auto"/>
                <w:sz w:val="22"/>
                <w:highlight w:val="none"/>
              </w:rPr>
              <w:t>说明的资料（如有则提供）</w:t>
            </w:r>
          </w:p>
        </w:tc>
      </w:tr>
      <w:tr w14:paraId="2A4E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2F79697">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793BAB2">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供应商应编制目录索引，注明项目所在投标文件页码。</w:t>
            </w:r>
          </w:p>
        </w:tc>
      </w:tr>
      <w:tr w14:paraId="6D36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603318">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A41D151">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政府采购活动现场确认声明书（附件十一）</w:t>
            </w:r>
          </w:p>
        </w:tc>
      </w:tr>
    </w:tbl>
    <w:p w14:paraId="6A361DEB">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5A74A57E">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w:t>
      </w:r>
    </w:p>
    <w:p w14:paraId="0E39D188">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bookmarkStart w:id="15" w:name="_Toc132122412"/>
      <w:bookmarkStart w:id="16" w:name="_Toc132122115"/>
      <w:r>
        <w:rPr>
          <w:rFonts w:hint="eastAsia" w:ascii="宋体" w:hAnsi="宋体" w:cs="宋体"/>
          <w:color w:val="auto"/>
          <w:sz w:val="22"/>
          <w:highlight w:val="none"/>
        </w:rPr>
        <w:t>4.投标报价</w:t>
      </w:r>
      <w:bookmarkEnd w:id="15"/>
      <w:bookmarkEnd w:id="16"/>
    </w:p>
    <w:p w14:paraId="7BD71F7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供应商应按竞争性磋商文件中《开标（报价）一览表》填写投标报价。</w:t>
      </w:r>
    </w:p>
    <w:p w14:paraId="1E1A0899">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058E2614">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72901CBE">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bookmarkStart w:id="17" w:name="_Toc132122414"/>
      <w:bookmarkStart w:id="18" w:name="_Toc132122117"/>
      <w:r>
        <w:rPr>
          <w:rFonts w:hint="eastAsia" w:ascii="宋体" w:hAnsi="宋体" w:cs="宋体"/>
          <w:color w:val="auto"/>
          <w:sz w:val="22"/>
          <w:highlight w:val="none"/>
        </w:rPr>
        <w:t>6.投标（响应）文件的有效期</w:t>
      </w:r>
      <w:bookmarkEnd w:id="17"/>
      <w:bookmarkEnd w:id="18"/>
    </w:p>
    <w:p w14:paraId="3B180B37">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自报价截止时间起90天内，投标（响应）文件应保持有效。有效期短于这个规定期限的报价将被拒绝。</w:t>
      </w:r>
    </w:p>
    <w:p w14:paraId="5F00248F">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在特殊情况下，采购人可与供应商协商延长投标（响应）文件的有效期，这种要求和答复均应以书面形式进行。</w:t>
      </w:r>
    </w:p>
    <w:p w14:paraId="7E3E5F5F">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供应商可拒绝接受延期要求，同意延长有效期的供应商不能修改投标（响应）文件。</w:t>
      </w:r>
    </w:p>
    <w:p w14:paraId="7A709BC7">
      <w:pPr>
        <w:pStyle w:val="34"/>
        <w:tabs>
          <w:tab w:val="left" w:pos="1069"/>
          <w:tab w:val="left" w:pos="2352"/>
        </w:tabs>
        <w:adjustRightInd w:val="0"/>
        <w:snapToGrid w:val="0"/>
        <w:spacing w:line="400" w:lineRule="atLeast"/>
        <w:outlineLvl w:val="0"/>
        <w:rPr>
          <w:rFonts w:hAnsi="宋体" w:cs="宋体"/>
          <w:b/>
          <w:bCs/>
          <w:color w:val="auto"/>
          <w:sz w:val="22"/>
          <w:szCs w:val="22"/>
          <w:highlight w:val="none"/>
        </w:rPr>
      </w:pPr>
      <w:bookmarkStart w:id="19" w:name="_Toc132123440"/>
      <w:bookmarkStart w:id="20" w:name="_Toc132123635"/>
      <w:bookmarkStart w:id="21" w:name="_Toc132125096"/>
      <w:bookmarkStart w:id="22" w:name="_Toc132126155"/>
      <w:bookmarkStart w:id="23" w:name="_Toc132125984"/>
      <w:bookmarkStart w:id="24" w:name="_Toc132655777"/>
      <w:bookmarkStart w:id="25" w:name="_Toc132124595"/>
      <w:bookmarkStart w:id="26" w:name="_Toc132125152"/>
      <w:bookmarkStart w:id="27" w:name="_Toc132123839"/>
      <w:bookmarkStart w:id="28" w:name="_Toc132122417"/>
      <w:bookmarkStart w:id="29" w:name="_Toc132125575"/>
      <w:bookmarkStart w:id="30" w:name="_Toc132125038"/>
      <w:bookmarkStart w:id="31" w:name="_Toc132123548"/>
      <w:bookmarkStart w:id="32" w:name="_Toc132123882"/>
      <w:bookmarkStart w:id="33" w:name="_Toc132122120"/>
      <w:r>
        <w:rPr>
          <w:rFonts w:hint="eastAsia" w:hAnsi="宋体" w:cs="宋体"/>
          <w:b/>
          <w:bCs/>
          <w:color w:val="auto"/>
          <w:sz w:val="22"/>
          <w:highlight w:val="none"/>
        </w:rPr>
        <w:t>四、</w:t>
      </w:r>
      <w:r>
        <w:rPr>
          <w:rFonts w:hint="eastAsia" w:hAnsi="宋体" w:cs="宋体"/>
          <w:b/>
          <w:bCs/>
          <w:color w:val="auto"/>
          <w:sz w:val="22"/>
          <w:szCs w:val="22"/>
          <w:highlight w:val="none"/>
        </w:rPr>
        <w:t>投标文件</w:t>
      </w:r>
    </w:p>
    <w:p w14:paraId="094C109F">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1. 投标文件的上传、递交：见《投标邀请函（投标须知前附表）》。</w:t>
      </w:r>
    </w:p>
    <w:p w14:paraId="4859BB06">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2.“电子加密投标文件”解密和异常情况处理：见《投标邀请函（投标须知前附表）》。</w:t>
      </w:r>
    </w:p>
    <w:p w14:paraId="1A0EECC1">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3.投标文件的补充、修改或撤回</w:t>
      </w:r>
    </w:p>
    <w:p w14:paraId="138E8A6C">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B35549C">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3.2投标截止时间后，供应商不得撤回、修改《投标文件》。</w:t>
      </w:r>
    </w:p>
    <w:p w14:paraId="7C8A65F9">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4.投标文件的备选方案</w:t>
      </w:r>
    </w:p>
    <w:p w14:paraId="310FCC24">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4.1供应商不得递交任何的投标备选（替代）方案，否则其投标文件将作无效标处理。</w:t>
      </w:r>
    </w:p>
    <w:p w14:paraId="155361BE">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 投标截止期</w:t>
      </w:r>
    </w:p>
    <w:p w14:paraId="1E8C7099">
      <w:pPr>
        <w:pStyle w:val="34"/>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5.1供应商应按前附表中规定的时间、地点将投标文件递交给采购人，采购人将拒绝接受逾期送达的投标文件。</w:t>
      </w:r>
    </w:p>
    <w:p w14:paraId="786FDD0F">
      <w:pPr>
        <w:pStyle w:val="12"/>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6D9B8E7F">
      <w:pPr>
        <w:pStyle w:val="12"/>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4" w:name="_Toc15003_WPSOffice_Level2"/>
      <w:bookmarkStart w:id="35" w:name="_Toc493530207"/>
      <w:r>
        <w:rPr>
          <w:rFonts w:hint="eastAsia" w:hAnsi="宋体" w:cs="宋体"/>
          <w:b/>
          <w:bCs/>
          <w:color w:val="auto"/>
          <w:sz w:val="22"/>
          <w:highlight w:val="none"/>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249E65C">
      <w:pPr>
        <w:pStyle w:val="12"/>
        <w:tabs>
          <w:tab w:val="left" w:pos="1069"/>
          <w:tab w:val="left" w:pos="2352"/>
        </w:tabs>
        <w:snapToGrid w:val="0"/>
        <w:spacing w:line="440" w:lineRule="exact"/>
        <w:ind w:firstLine="436" w:firstLineChars="196"/>
        <w:rPr>
          <w:rFonts w:hAnsi="宋体" w:cs="宋体"/>
          <w:color w:val="auto"/>
          <w:sz w:val="22"/>
          <w:szCs w:val="22"/>
          <w:highlight w:val="none"/>
        </w:rPr>
      </w:pPr>
      <w:r>
        <w:rPr>
          <w:rFonts w:hint="eastAsia" w:hAnsi="宋体" w:cs="宋体"/>
          <w:color w:val="auto"/>
          <w:sz w:val="22"/>
          <w:szCs w:val="22"/>
          <w:highlight w:val="none"/>
        </w:rPr>
        <w:t>（一）开标准备</w:t>
      </w:r>
    </w:p>
    <w:p w14:paraId="4AFDD9F7">
      <w:pPr>
        <w:tabs>
          <w:tab w:val="left" w:pos="1069"/>
          <w:tab w:val="left" w:pos="2352"/>
        </w:tabs>
        <w:snapToGrid w:val="0"/>
        <w:spacing w:line="440" w:lineRule="exact"/>
        <w:ind w:firstLine="446" w:firstLineChars="200"/>
        <w:jc w:val="left"/>
        <w:rPr>
          <w:rFonts w:ascii="宋体" w:hAnsi="宋体" w:cs="宋体"/>
          <w:b/>
          <w:color w:val="auto"/>
          <w:kern w:val="0"/>
          <w:sz w:val="22"/>
          <w:highlight w:val="none"/>
        </w:rPr>
      </w:pPr>
      <w:r>
        <w:rPr>
          <w:rFonts w:hint="eastAsia" w:ascii="宋体" w:hAnsi="宋体" w:cs="宋体"/>
          <w:b/>
          <w:color w:val="auto"/>
          <w:sz w:val="22"/>
          <w:highlight w:val="none"/>
        </w:rPr>
        <w:t>1.采购组织机构原则上采用电子评标，按照响应文件规定的时间通过“政府采购云平台”组织开标、开启响应文件，所有供应商均应当准时在线参加。</w:t>
      </w:r>
      <w:r>
        <w:rPr>
          <w:rFonts w:hint="eastAsia" w:ascii="宋体" w:hAnsi="宋体" w:cs="宋体"/>
          <w:b/>
          <w:color w:val="auto"/>
          <w:kern w:val="0"/>
          <w:sz w:val="22"/>
          <w:highlight w:val="none"/>
        </w:rPr>
        <w:t>供应商如不参加磋商大会的，视同认可磋商结果，事后不得对采购相关人员、磋商过程和磋商结果提出异议，同时供应商因未在线参加磋商而导致响应文件无法按时解密等一切后果由供应商自己承担。</w:t>
      </w:r>
    </w:p>
    <w:p w14:paraId="5CF2A68A">
      <w:pPr>
        <w:pStyle w:val="35"/>
        <w:tabs>
          <w:tab w:val="left" w:pos="1069"/>
          <w:tab w:val="left" w:pos="2352"/>
        </w:tabs>
        <w:adjustRightInd w:val="0"/>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2.若磋商供应商在规定时间内无法解密或解密失败的，其投标无效。</w:t>
      </w:r>
    </w:p>
    <w:p w14:paraId="6577E251">
      <w:pPr>
        <w:tabs>
          <w:tab w:val="left" w:pos="1069"/>
          <w:tab w:val="left" w:pos="2352"/>
        </w:tabs>
        <w:snapToGrid w:val="0"/>
        <w:spacing w:line="440" w:lineRule="exact"/>
        <w:ind w:firstLine="446" w:firstLineChars="200"/>
        <w:jc w:val="left"/>
        <w:rPr>
          <w:rFonts w:ascii="宋体" w:hAnsi="宋体" w:cs="宋体"/>
          <w:b/>
          <w:bCs/>
          <w:color w:val="auto"/>
          <w:sz w:val="22"/>
          <w:highlight w:val="none"/>
        </w:rPr>
      </w:pPr>
      <w:r>
        <w:rPr>
          <w:rFonts w:hint="eastAsia" w:ascii="宋体" w:hAnsi="宋体" w:cs="宋体"/>
          <w:b/>
          <w:bCs/>
          <w:color w:val="auto"/>
          <w:sz w:val="22"/>
          <w:highlight w:val="none"/>
          <w:shd w:val="clear" w:color="auto" w:fill="FFFFFF"/>
        </w:rPr>
        <w:t>3.所有二次报价询标流程，均在线上完成，请各供应商务必不要离开电脑太久，并留意手机短信。（请提前检查“政采云”内，关于‘项目采购’的岗位权限是否已勾选上。如有问题，请致电</w:t>
      </w:r>
      <w:r>
        <w:rPr>
          <w:rFonts w:hint="eastAsia" w:ascii="宋体" w:hAnsi="宋体" w:cs="宋体"/>
          <w:b/>
          <w:bCs/>
          <w:color w:val="auto"/>
          <w:sz w:val="22"/>
          <w:highlight w:val="none"/>
          <w:shd w:val="clear" w:color="auto" w:fill="FFFFFF"/>
          <w:lang w:eastAsia="zh-CN"/>
        </w:rPr>
        <w:t>95763</w:t>
      </w:r>
      <w:r>
        <w:rPr>
          <w:rFonts w:hint="eastAsia" w:ascii="宋体" w:hAnsi="宋体" w:cs="宋体"/>
          <w:b/>
          <w:bCs/>
          <w:color w:val="auto"/>
          <w:sz w:val="22"/>
          <w:highlight w:val="none"/>
          <w:shd w:val="clear" w:color="auto" w:fill="FFFFFF"/>
        </w:rPr>
        <w:t>）</w:t>
      </w:r>
    </w:p>
    <w:p w14:paraId="33D83E22">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hint="eastAsia" w:ascii="宋体" w:hAnsi="宋体" w:cs="宋体"/>
          <w:bCs/>
          <w:color w:val="auto"/>
          <w:sz w:val="22"/>
          <w:highlight w:val="none"/>
        </w:rPr>
        <w:t>（二）电子招投标开标及评审程序</w:t>
      </w:r>
    </w:p>
    <w:p w14:paraId="6FB37EA3">
      <w:pPr>
        <w:tabs>
          <w:tab w:val="left" w:pos="1069"/>
          <w:tab w:val="left" w:pos="2352"/>
        </w:tabs>
        <w:spacing w:line="440" w:lineRule="exact"/>
        <w:ind w:firstLine="446" w:firstLineChars="200"/>
        <w:rPr>
          <w:rFonts w:ascii="宋体" w:hAnsi="宋体" w:cs="宋体"/>
          <w:color w:val="auto"/>
          <w:sz w:val="22"/>
          <w:highlight w:val="none"/>
        </w:rPr>
      </w:pPr>
      <w:r>
        <w:rPr>
          <w:rFonts w:hint="eastAsia" w:ascii="宋体" w:hAnsi="宋体" w:cs="宋体"/>
          <w:bCs/>
          <w:color w:val="auto"/>
          <w:sz w:val="22"/>
          <w:highlight w:val="none"/>
        </w:rPr>
        <w:t>1.磋商会由采购代理机构主持，磋商响应截止时间后，供应商登录政采云平台，用“项目采购-开标评标”功能对电子响应文件进行在线解密，</w:t>
      </w:r>
      <w:r>
        <w:rPr>
          <w:rFonts w:hint="eastAsia" w:ascii="宋体" w:hAnsi="宋体" w:cs="宋体"/>
          <w:color w:val="auto"/>
          <w:sz w:val="22"/>
          <w:highlight w:val="none"/>
        </w:rPr>
        <w:t>各供应商代表在收到解密通知后30分钟内自行完成“电子加密投标文件”的在线解密。</w:t>
      </w:r>
    </w:p>
    <w:p w14:paraId="55BD5619">
      <w:pPr>
        <w:tabs>
          <w:tab w:val="left" w:pos="1069"/>
          <w:tab w:val="left" w:pos="2352"/>
        </w:tabs>
        <w:spacing w:line="440" w:lineRule="exact"/>
        <w:ind w:firstLine="446" w:firstLineChars="200"/>
        <w:jc w:val="left"/>
        <w:rPr>
          <w:rFonts w:ascii="宋体" w:hAnsi="宋体" w:cs="宋体"/>
          <w:bCs/>
          <w:color w:val="auto"/>
          <w:sz w:val="22"/>
          <w:highlight w:val="none"/>
        </w:rPr>
      </w:pPr>
      <w:r>
        <w:rPr>
          <w:rFonts w:hint="eastAsia" w:ascii="宋体" w:hAnsi="宋体" w:cs="宋体"/>
          <w:color w:val="auto"/>
          <w:kern w:val="0"/>
          <w:sz w:val="22"/>
          <w:highlight w:val="none"/>
        </w:rPr>
        <w:t>2.投标文件解密结束，</w:t>
      </w:r>
      <w:r>
        <w:rPr>
          <w:rFonts w:hint="eastAsia" w:ascii="宋体" w:hAnsi="宋体" w:cs="宋体"/>
          <w:bCs/>
          <w:color w:val="auto"/>
          <w:sz w:val="22"/>
          <w:highlight w:val="none"/>
        </w:rPr>
        <w:t>开启响应文件，磋商小组对资格和商务技术响应文件进行评审；</w:t>
      </w:r>
    </w:p>
    <w:p w14:paraId="16857D8F">
      <w:pPr>
        <w:tabs>
          <w:tab w:val="left" w:pos="1069"/>
          <w:tab w:val="left" w:pos="2352"/>
        </w:tabs>
        <w:spacing w:line="44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3.供应商按签到的前后顺序决定磋商的顺序，就价格、服务等认为需要磋商的内容进行磋商，</w:t>
      </w:r>
      <w:r>
        <w:rPr>
          <w:rFonts w:hint="eastAsia" w:ascii="宋体" w:hAnsi="宋体" w:cs="宋体"/>
          <w:color w:val="auto"/>
          <w:sz w:val="22"/>
          <w:highlight w:val="none"/>
        </w:rPr>
        <w:t>供应商逐家回答磋商小组的提问，</w:t>
      </w:r>
      <w:r>
        <w:rPr>
          <w:rFonts w:hint="eastAsia" w:ascii="宋体" w:hAnsi="宋体" w:cs="宋体"/>
          <w:bCs/>
          <w:color w:val="auto"/>
          <w:sz w:val="22"/>
          <w:highlight w:val="none"/>
        </w:rPr>
        <w:t>响应人作出最终承诺和最终报价（</w:t>
      </w:r>
      <w:r>
        <w:rPr>
          <w:rFonts w:hint="eastAsia" w:ascii="宋体" w:hAnsi="宋体" w:cs="宋体"/>
          <w:b/>
          <w:color w:val="auto"/>
          <w:sz w:val="22"/>
          <w:highlight w:val="none"/>
          <w:u w:val="single"/>
        </w:rPr>
        <w:t>超过时间未递交最终报价的，以首次报价为准</w:t>
      </w:r>
      <w:r>
        <w:rPr>
          <w:rFonts w:hint="eastAsia" w:ascii="宋体" w:hAnsi="宋体" w:cs="宋体"/>
          <w:bCs/>
          <w:color w:val="auto"/>
          <w:sz w:val="22"/>
          <w:highlight w:val="none"/>
        </w:rPr>
        <w:t>）。</w:t>
      </w:r>
    </w:p>
    <w:p w14:paraId="3DBCCFDF">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4</w:t>
      </w:r>
      <w:r>
        <w:rPr>
          <w:rFonts w:hint="eastAsia" w:ascii="宋体" w:hAnsi="宋体" w:cs="宋体"/>
          <w:bCs/>
          <w:color w:val="auto"/>
          <w:sz w:val="22"/>
          <w:highlight w:val="none"/>
        </w:rPr>
        <w:t>.在系统上公开资格和商务技术评审结果；</w:t>
      </w:r>
    </w:p>
    <w:p w14:paraId="1B62B4D3">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5</w:t>
      </w:r>
      <w:r>
        <w:rPr>
          <w:rFonts w:hint="eastAsia" w:ascii="宋体" w:hAnsi="宋体" w:cs="宋体"/>
          <w:bCs/>
          <w:color w:val="auto"/>
          <w:sz w:val="22"/>
          <w:highlight w:val="none"/>
        </w:rPr>
        <w:t>.在系统上录入最终报价情况；</w:t>
      </w:r>
    </w:p>
    <w:p w14:paraId="5C88A7D4">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6</w:t>
      </w:r>
      <w:r>
        <w:rPr>
          <w:rFonts w:hint="eastAsia" w:ascii="宋体" w:hAnsi="宋体" w:cs="宋体"/>
          <w:bCs/>
          <w:color w:val="auto"/>
          <w:sz w:val="22"/>
          <w:highlight w:val="none"/>
        </w:rPr>
        <w:t>.磋商小组对报价情况进行评审；</w:t>
      </w:r>
    </w:p>
    <w:p w14:paraId="6456E795">
      <w:pPr>
        <w:tabs>
          <w:tab w:val="left" w:pos="1069"/>
          <w:tab w:val="left" w:pos="2352"/>
        </w:tabs>
        <w:snapToGrid w:val="0"/>
        <w:spacing w:line="440" w:lineRule="exact"/>
        <w:ind w:firstLine="446" w:firstLineChars="200"/>
        <w:jc w:val="left"/>
        <w:rPr>
          <w:rFonts w:ascii="宋体" w:hAnsi="宋体" w:cs="宋体"/>
          <w:color w:val="auto"/>
          <w:sz w:val="22"/>
          <w:highlight w:val="none"/>
        </w:rPr>
      </w:pPr>
      <w:r>
        <w:rPr>
          <w:rFonts w:ascii="宋体" w:hAnsi="宋体" w:cs="宋体"/>
          <w:bCs/>
          <w:color w:val="auto"/>
          <w:sz w:val="22"/>
          <w:highlight w:val="none"/>
        </w:rPr>
        <w:t>7</w:t>
      </w:r>
      <w:r>
        <w:rPr>
          <w:rFonts w:hint="eastAsia" w:ascii="宋体" w:hAnsi="宋体" w:cs="宋体"/>
          <w:bCs/>
          <w:color w:val="auto"/>
          <w:sz w:val="22"/>
          <w:highlight w:val="none"/>
        </w:rPr>
        <w:t>.在系统上公布评审结果。</w:t>
      </w:r>
    </w:p>
    <w:p w14:paraId="75B0A8D4">
      <w:pPr>
        <w:pStyle w:val="12"/>
        <w:tabs>
          <w:tab w:val="left" w:pos="1069"/>
          <w:tab w:val="left" w:pos="2352"/>
        </w:tabs>
        <w:adjustRightInd w:val="0"/>
        <w:spacing w:line="400" w:lineRule="exact"/>
        <w:ind w:firstLine="446"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3DA85391">
      <w:pPr>
        <w:tabs>
          <w:tab w:val="left" w:pos="1069"/>
          <w:tab w:val="left" w:pos="2352"/>
        </w:tabs>
        <w:adjustRightInd w:val="0"/>
        <w:snapToGrid w:val="0"/>
        <w:spacing w:line="400" w:lineRule="atLeast"/>
        <w:ind w:firstLine="438" w:firstLineChars="197"/>
        <w:rPr>
          <w:rFonts w:hAnsi="宋体" w:cs="宋体"/>
          <w:b/>
          <w:bCs/>
          <w:color w:val="auto"/>
          <w:sz w:val="22"/>
          <w:szCs w:val="22"/>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供应商政采云系统填写报价和电子投标文件（开标（报价）一览表）中填写不一致的，以电子投标文件（开标（报价）一览表）为准，如果不接受调整价格的</w:t>
      </w:r>
      <w:r>
        <w:rPr>
          <w:rFonts w:hint="eastAsia" w:ascii="宋体" w:hAnsi="宋体" w:cs="宋体"/>
          <w:b/>
          <w:bCs/>
          <w:color w:val="auto"/>
          <w:sz w:val="22"/>
          <w:highlight w:val="none"/>
          <w:lang w:eastAsia="zh-CN"/>
        </w:rPr>
        <w:t>作废</w:t>
      </w:r>
      <w:r>
        <w:rPr>
          <w:rFonts w:hint="eastAsia" w:ascii="宋体" w:hAnsi="宋体" w:cs="宋体"/>
          <w:b/>
          <w:bCs/>
          <w:color w:val="auto"/>
          <w:sz w:val="22"/>
          <w:highlight w:val="none"/>
        </w:rPr>
        <w:t>标处理。</w:t>
      </w:r>
    </w:p>
    <w:p w14:paraId="18BB2A91">
      <w:pPr>
        <w:pStyle w:val="12"/>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2.评标</w:t>
      </w:r>
    </w:p>
    <w:p w14:paraId="10139F98">
      <w:pPr>
        <w:pStyle w:val="12"/>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2.1 评标由采购人依法组建的评审小组负责，并独立履行下列职责：</w:t>
      </w:r>
    </w:p>
    <w:p w14:paraId="205E569C">
      <w:pPr>
        <w:tabs>
          <w:tab w:val="left" w:pos="1069"/>
          <w:tab w:val="left" w:pos="2352"/>
        </w:tabs>
        <w:spacing w:line="400" w:lineRule="exact"/>
        <w:ind w:firstLine="436" w:firstLineChars="196"/>
        <w:rPr>
          <w:rFonts w:ascii="宋体" w:hAnsi="宋体" w:cs="宋体"/>
          <w:color w:val="auto"/>
          <w:sz w:val="22"/>
          <w:highlight w:val="none"/>
        </w:rPr>
      </w:pPr>
      <w:bookmarkStart w:id="36" w:name="_Toc2500_WPSOffice_Level3"/>
      <w:r>
        <w:rPr>
          <w:rFonts w:hint="eastAsia" w:ascii="宋体" w:hAnsi="宋体" w:cs="宋体"/>
          <w:color w:val="auto"/>
          <w:sz w:val="22"/>
          <w:highlight w:val="none"/>
        </w:rPr>
        <w:t>1）审查投标（响应）文件是否符合竞争性磋商文件要求，并作出评价；</w:t>
      </w:r>
      <w:bookmarkEnd w:id="36"/>
    </w:p>
    <w:p w14:paraId="600A02EC">
      <w:pPr>
        <w:tabs>
          <w:tab w:val="left" w:pos="1069"/>
          <w:tab w:val="left" w:pos="2352"/>
        </w:tabs>
        <w:spacing w:line="400" w:lineRule="exact"/>
        <w:ind w:firstLine="446" w:firstLineChars="200"/>
        <w:rPr>
          <w:rFonts w:ascii="宋体" w:hAnsi="宋体" w:cs="宋体"/>
          <w:color w:val="auto"/>
          <w:sz w:val="22"/>
          <w:highlight w:val="none"/>
        </w:rPr>
      </w:pPr>
      <w:bookmarkStart w:id="37" w:name="_Toc20806_WPSOffice_Level3"/>
      <w:r>
        <w:rPr>
          <w:rFonts w:hint="eastAsia" w:ascii="宋体" w:hAnsi="宋体" w:cs="宋体"/>
          <w:color w:val="auto"/>
          <w:sz w:val="22"/>
          <w:highlight w:val="none"/>
        </w:rPr>
        <w:t>2）要求供应商对投标（响应）文件有关事项作出解释或者澄清；</w:t>
      </w:r>
      <w:bookmarkEnd w:id="37"/>
    </w:p>
    <w:p w14:paraId="7832CBD9">
      <w:pPr>
        <w:tabs>
          <w:tab w:val="left" w:pos="1069"/>
          <w:tab w:val="left" w:pos="2352"/>
        </w:tabs>
        <w:spacing w:line="400" w:lineRule="exact"/>
        <w:ind w:firstLine="446" w:firstLineChars="200"/>
        <w:rPr>
          <w:rFonts w:ascii="宋体" w:hAnsi="宋体" w:cs="宋体"/>
          <w:color w:val="auto"/>
          <w:sz w:val="22"/>
          <w:highlight w:val="none"/>
        </w:rPr>
      </w:pPr>
      <w:bookmarkStart w:id="38" w:name="_Toc12689_WPSOffice_Level3"/>
      <w:r>
        <w:rPr>
          <w:rFonts w:hint="eastAsia" w:ascii="宋体" w:hAnsi="宋体" w:cs="宋体"/>
          <w:color w:val="auto"/>
          <w:sz w:val="22"/>
          <w:highlight w:val="none"/>
        </w:rPr>
        <w:t>3）按照竞争性磋商文件确定的评标办法直接确定中标（成交）供应商；</w:t>
      </w:r>
      <w:bookmarkEnd w:id="38"/>
    </w:p>
    <w:p w14:paraId="4DEA4EEC">
      <w:pPr>
        <w:pStyle w:val="12"/>
        <w:tabs>
          <w:tab w:val="left" w:pos="1069"/>
          <w:tab w:val="left" w:pos="2352"/>
        </w:tabs>
        <w:adjustRightInd w:val="0"/>
        <w:spacing w:line="400" w:lineRule="exact"/>
        <w:ind w:firstLine="436" w:firstLineChars="196"/>
        <w:rPr>
          <w:rFonts w:hAnsi="宋体" w:cs="宋体"/>
          <w:b/>
          <w:bCs/>
          <w:color w:val="auto"/>
          <w:sz w:val="22"/>
          <w:highlight w:val="none"/>
        </w:rPr>
      </w:pPr>
      <w:bookmarkStart w:id="39" w:name="_Toc20017_WPSOffice_Level3"/>
      <w:r>
        <w:rPr>
          <w:rFonts w:hint="eastAsia" w:hAnsi="宋体" w:cs="宋体"/>
          <w:color w:val="auto"/>
          <w:sz w:val="22"/>
          <w:highlight w:val="none"/>
        </w:rPr>
        <w:t>4）向采购人或者有关部门报告非法干预评标工作的行为。</w:t>
      </w:r>
      <w:bookmarkEnd w:id="39"/>
    </w:p>
    <w:p w14:paraId="45A58902">
      <w:pPr>
        <w:tabs>
          <w:tab w:val="left" w:pos="1069"/>
          <w:tab w:val="left" w:pos="2352"/>
        </w:tabs>
        <w:spacing w:line="400" w:lineRule="exact"/>
        <w:ind w:firstLine="436" w:firstLineChars="196"/>
        <w:rPr>
          <w:rFonts w:ascii="宋体" w:hAnsi="宋体" w:cs="宋体"/>
          <w:color w:val="auto"/>
          <w:sz w:val="22"/>
          <w:highlight w:val="none"/>
        </w:rPr>
      </w:pPr>
      <w:r>
        <w:rPr>
          <w:rFonts w:hint="eastAsia" w:ascii="宋体" w:hAnsi="宋体" w:cs="宋体"/>
          <w:color w:val="auto"/>
          <w:sz w:val="22"/>
          <w:highlight w:val="none"/>
        </w:rPr>
        <w:t>2.2 评标应当遵循下列工作程序：</w:t>
      </w:r>
    </w:p>
    <w:p w14:paraId="7956117D">
      <w:pPr>
        <w:tabs>
          <w:tab w:val="left" w:pos="1069"/>
          <w:tab w:val="left" w:pos="2352"/>
        </w:tabs>
        <w:spacing w:line="400" w:lineRule="exact"/>
        <w:rPr>
          <w:rFonts w:ascii="宋体" w:hAnsi="宋体" w:cs="宋体"/>
          <w:color w:val="auto"/>
          <w:sz w:val="22"/>
          <w:highlight w:val="none"/>
        </w:rPr>
      </w:pPr>
      <w:r>
        <w:rPr>
          <w:rFonts w:hint="eastAsia" w:ascii="宋体" w:hAnsi="宋体" w:cs="宋体"/>
          <w:color w:val="auto"/>
          <w:sz w:val="22"/>
          <w:highlight w:val="none"/>
        </w:rPr>
        <w:t xml:space="preserve">    1）投标（响应）文件初审。初审分为资格性检查和符合性检查。</w:t>
      </w:r>
    </w:p>
    <w:p w14:paraId="7E37277C">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（1)资格性检查。由采购人代表或招标代理机构对供应商资格进行审查。依据法律法规和竞争性磋商文件的规定，对投标（响应）文件中的资格证明文件等进行审查，以确定供应商是否具备投标资格。</w:t>
      </w:r>
    </w:p>
    <w:p w14:paraId="758019D3">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（2)符合性检查。评审小组依据竞争性磋商文件的规定，从投标（响应）文件的有效性、完整性和对竞争性磋商文件的响应程度进行审查，以确定是否对竞争性磋商文件的实质性要求作出响应。</w:t>
      </w:r>
    </w:p>
    <w:p w14:paraId="2EEBDBAE">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2）评审小组可以根据供应商投标（响应）文件情况，经采购人确认，调整竞争性磋商文件及采购方案，在统一采购要求的基础上，要求所有有效供应商重新修正投标（响应）文件及进行多轮次报价。</w:t>
      </w:r>
    </w:p>
    <w:p w14:paraId="187B6123">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3）评价。按竞争性磋商文件中规定的评标方法和标准，对资格性检查和符合性检查合格的投标（响应）文件进行商务和技术评估，综合评价。</w:t>
      </w:r>
    </w:p>
    <w:p w14:paraId="5D36B698">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3ABE202D">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2.3 </w:t>
      </w:r>
      <w:r>
        <w:rPr>
          <w:rFonts w:hint="eastAsia" w:hAnsi="宋体" w:cs="宋体"/>
          <w:color w:val="auto"/>
          <w:sz w:val="22"/>
          <w:highlight w:val="none"/>
          <w:u w:val="single"/>
        </w:rPr>
        <w:t>▲供应商存在下列情况之一的，报价无效:</w:t>
      </w:r>
    </w:p>
    <w:p w14:paraId="205F26BB">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none"/>
        </w:rPr>
        <w:t>1）</w:t>
      </w:r>
      <w:r>
        <w:rPr>
          <w:rFonts w:hint="eastAsia" w:hAnsi="宋体" w:cs="宋体"/>
          <w:color w:val="auto"/>
          <w:sz w:val="22"/>
          <w:highlight w:val="none"/>
          <w:u w:val="single"/>
        </w:rPr>
        <w:t>投标（响应）文件未按竞争性磋商文件要求签署、盖章的；</w:t>
      </w:r>
    </w:p>
    <w:p w14:paraId="0265CD54">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none"/>
        </w:rPr>
        <w:t>2）</w:t>
      </w:r>
      <w:r>
        <w:rPr>
          <w:rFonts w:hint="eastAsia" w:hAnsi="宋体" w:cs="宋体"/>
          <w:color w:val="auto"/>
          <w:sz w:val="22"/>
          <w:highlight w:val="none"/>
          <w:u w:val="single"/>
        </w:rPr>
        <w:t>不具备竞争性磋商文件中规定的资格要求的；</w:t>
      </w:r>
    </w:p>
    <w:p w14:paraId="0EB8E64E">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none"/>
        </w:rPr>
        <w:t>3）</w:t>
      </w:r>
      <w:r>
        <w:rPr>
          <w:rFonts w:hint="eastAsia" w:hAnsi="宋体" w:cs="宋体"/>
          <w:color w:val="auto"/>
          <w:sz w:val="22"/>
          <w:highlight w:val="none"/>
          <w:u w:val="single"/>
        </w:rPr>
        <w:t>最终报价超过竞争性磋商文件中规定的预算金额或者最高限价的；</w:t>
      </w:r>
    </w:p>
    <w:p w14:paraId="0732802C">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none"/>
        </w:rPr>
        <w:t>4）</w:t>
      </w:r>
      <w:r>
        <w:rPr>
          <w:rFonts w:hint="eastAsia" w:hAnsi="宋体" w:cs="宋体"/>
          <w:color w:val="auto"/>
          <w:sz w:val="22"/>
          <w:highlight w:val="none"/>
          <w:u w:val="single"/>
        </w:rPr>
        <w:t>投标（响应）文件含有采购人不能接受的附加条件的（包括竞争性磋商文件中明确要求不得偏离的招标要求，存在负偏离的）;</w:t>
      </w:r>
    </w:p>
    <w:p w14:paraId="4922C5FD">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none"/>
        </w:rPr>
        <w:t>5）</w:t>
      </w:r>
      <w:r>
        <w:rPr>
          <w:rFonts w:hint="eastAsia" w:hAnsi="宋体" w:cs="宋体"/>
          <w:color w:val="auto"/>
          <w:sz w:val="22"/>
          <w:highlight w:val="none"/>
          <w:u w:val="single"/>
        </w:rPr>
        <w:t>对关键条文的偏离、保留或反对，例如关于付款方式、完工期（服务期）、免费质保期、适用法律法规、标准、税费等其他内容；</w:t>
      </w:r>
    </w:p>
    <w:p w14:paraId="1783DEEC">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none"/>
        </w:rPr>
        <w:t>6）</w:t>
      </w:r>
      <w:r>
        <w:rPr>
          <w:rFonts w:hint="eastAsia" w:hAnsi="宋体" w:cs="宋体"/>
          <w:color w:val="auto"/>
          <w:sz w:val="22"/>
          <w:highlight w:val="none"/>
          <w:u w:val="single"/>
        </w:rPr>
        <w:t>存在串标、抬标或弄虚作假情况的；</w:t>
      </w:r>
    </w:p>
    <w:p w14:paraId="19C4DA35">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none"/>
        </w:rPr>
        <w:t>7）</w:t>
      </w:r>
      <w:r>
        <w:rPr>
          <w:rFonts w:hint="eastAsia" w:hAnsi="宋体" w:cs="宋体"/>
          <w:color w:val="auto"/>
          <w:sz w:val="22"/>
          <w:highlight w:val="none"/>
          <w:u w:val="single"/>
        </w:rPr>
        <w:t>法律、法规和竞争性磋商文件规定的其他无效情形（或出现重大偏差）。</w:t>
      </w:r>
    </w:p>
    <w:p w14:paraId="59488201">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2.4 </w:t>
      </w:r>
      <w:r>
        <w:rPr>
          <w:rFonts w:hint="eastAsia" w:hAnsi="宋体" w:cs="宋体"/>
          <w:color w:val="auto"/>
          <w:sz w:val="22"/>
          <w:highlight w:val="none"/>
          <w:u w:val="single"/>
        </w:rPr>
        <w:t>▲评审小组发现投标（响应）文件有下列情形之一的属于重大偏差(评审小组按少数服从多数原则认定),按照无效投标处理：</w:t>
      </w:r>
    </w:p>
    <w:p w14:paraId="31B78ABE">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1）未按竞争性磋商文件要求编制或字迹模糊、辨认不清的投标（响应）文件；</w:t>
      </w:r>
    </w:p>
    <w:p w14:paraId="7F27527B">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2）除2.3条款以外，出现</w:t>
      </w:r>
      <w:r>
        <w:rPr>
          <w:rFonts w:hint="eastAsia" w:hAnsi="宋体" w:cs="宋体"/>
          <w:color w:val="auto"/>
          <w:sz w:val="22"/>
          <w:highlight w:val="none"/>
          <w:u w:val="single"/>
          <w:lang w:eastAsia="zh-CN"/>
        </w:rPr>
        <w:t>其他</w:t>
      </w:r>
      <w:r>
        <w:rPr>
          <w:rFonts w:hint="eastAsia" w:hAnsi="宋体" w:cs="宋体"/>
          <w:color w:val="auto"/>
          <w:sz w:val="22"/>
          <w:highlight w:val="none"/>
          <w:u w:val="single"/>
        </w:rPr>
        <w:t>明显不符合采购要求的投标（响应）文件；</w:t>
      </w:r>
    </w:p>
    <w:p w14:paraId="22DAD710">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u w:val="single"/>
        </w:rPr>
        <w:t>3）除2.3条款以外，</w:t>
      </w:r>
      <w:r>
        <w:rPr>
          <w:rFonts w:hint="eastAsia" w:hAnsi="宋体" w:cs="宋体"/>
          <w:color w:val="auto"/>
          <w:sz w:val="22"/>
          <w:highlight w:val="none"/>
          <w:u w:val="single"/>
          <w:lang w:eastAsia="zh-CN"/>
        </w:rPr>
        <w:t>出现其他不</w:t>
      </w:r>
      <w:r>
        <w:rPr>
          <w:rFonts w:hint="eastAsia" w:hAnsi="宋体" w:cs="宋体"/>
          <w:color w:val="auto"/>
          <w:sz w:val="22"/>
          <w:highlight w:val="none"/>
          <w:u w:val="single"/>
        </w:rPr>
        <w:t>符合竞争性磋商文件中规定的实质性要求的投标（响应）文件，是否为偏离实质性要求由评审小组认定。</w:t>
      </w:r>
    </w:p>
    <w:p w14:paraId="4368E009">
      <w:pPr>
        <w:adjustRightInd w:val="0"/>
        <w:snapToGrid w:val="0"/>
        <w:spacing w:line="400" w:lineRule="atLeast"/>
        <w:ind w:firstLine="438" w:firstLineChars="197"/>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2.5异常低价投标（响应）审查</w:t>
      </w:r>
    </w:p>
    <w:p w14:paraId="79AB7250">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2A9310DC">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6DCCEEFF">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20E43D70">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24404E72">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（4）评审委员会基于专业判断，认为供应商报价过低，有可能影响产品质量或者不能诚信履约的其他情形。相关法律法规对供应商报价有规定的，从其规定。</w:t>
      </w:r>
    </w:p>
    <w:p w14:paraId="0FA5C96C">
      <w:pPr>
        <w:pStyle w:val="12"/>
        <w:tabs>
          <w:tab w:val="left" w:pos="1069"/>
          <w:tab w:val="left" w:pos="2352"/>
        </w:tabs>
        <w:adjustRightInd w:val="0"/>
        <w:snapToGrid w:val="0"/>
        <w:spacing w:line="400" w:lineRule="exac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35F772A7">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2.6 评审小组在评标中，不得改变竞争性磋商文件中规定的评标标准、方法和中标(成交)条件。</w:t>
      </w:r>
    </w:p>
    <w:p w14:paraId="1E67FBF9">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none"/>
        </w:rPr>
        <w:t xml:space="preserve">2.7 </w:t>
      </w:r>
      <w:r>
        <w:rPr>
          <w:rFonts w:hint="eastAsia" w:hAnsi="宋体" w:cs="宋体"/>
          <w:color w:val="auto"/>
          <w:sz w:val="22"/>
          <w:highlight w:val="none"/>
          <w:u w:val="single"/>
        </w:rPr>
        <w:t>评标时如遇到竞争性磋商文件未规定的特殊情况，由评审小组按少数服从多数原则集体决定处理。</w:t>
      </w:r>
    </w:p>
    <w:p w14:paraId="045179C7">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none"/>
        </w:rPr>
        <w:t>2.8</w:t>
      </w:r>
      <w:r>
        <w:rPr>
          <w:rFonts w:hint="eastAsia" w:hAnsi="宋体" w:cs="宋体"/>
          <w:color w:val="auto"/>
          <w:sz w:val="22"/>
          <w:highlight w:val="none"/>
          <w:u w:val="single"/>
        </w:rPr>
        <w:t>评审小组对未中标(成交)的供应商不作解释。同时根据政府采购法实施条例第四十条规定，本项目不对供应商公布详细的评审情况，不公布具体评标细则中小项得分。</w:t>
      </w:r>
    </w:p>
    <w:p w14:paraId="4EDD7986">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b/>
          <w:bCs/>
          <w:color w:val="auto"/>
          <w:sz w:val="22"/>
          <w:highlight w:val="none"/>
        </w:rPr>
        <w:t>2.9</w:t>
      </w:r>
      <w:r>
        <w:rPr>
          <w:rFonts w:hint="eastAsia" w:hAnsi="宋体" w:cs="宋体"/>
          <w:b/>
          <w:bCs/>
          <w:color w:val="auto"/>
          <w:sz w:val="22"/>
          <w:highlight w:val="none"/>
          <w:u w:val="single"/>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hAnsi="宋体" w:cs="宋体"/>
          <w:b/>
          <w:bCs/>
          <w:color w:val="auto"/>
          <w:sz w:val="22"/>
          <w:highlight w:val="none"/>
        </w:rPr>
        <w:t>。</w:t>
      </w:r>
    </w:p>
    <w:p w14:paraId="4B7ED591">
      <w:pPr>
        <w:pStyle w:val="12"/>
        <w:tabs>
          <w:tab w:val="left" w:pos="1069"/>
          <w:tab w:val="left" w:pos="2352"/>
        </w:tabs>
        <w:adjustRightInd w:val="0"/>
        <w:snapToGri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3.投标（响应）文件的澄清</w:t>
      </w:r>
    </w:p>
    <w:p w14:paraId="15D7AF9E">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为有利于对投标（响应）文件的评议，必要时采购人及评审小组可要求供应商对投标（响应）文件及合同条款进行澄清，并</w:t>
      </w:r>
      <w:r>
        <w:rPr>
          <w:rFonts w:hint="eastAsia" w:ascii="宋体" w:hAnsi="宋体" w:cs="宋体"/>
          <w:color w:val="auto"/>
          <w:sz w:val="22"/>
          <w:highlight w:val="none"/>
          <w:lang w:eastAsia="zh-CN"/>
        </w:rPr>
        <w:t>作出</w:t>
      </w:r>
      <w:r>
        <w:rPr>
          <w:rFonts w:hint="eastAsia" w:ascii="宋体" w:hAnsi="宋体" w:cs="宋体"/>
          <w:color w:val="auto"/>
          <w:sz w:val="22"/>
          <w:highlight w:val="none"/>
        </w:rPr>
        <w:t>答复。答复须有授权代表签字并作为报价内容的一部分。</w:t>
      </w:r>
    </w:p>
    <w:p w14:paraId="08920EFD">
      <w:pPr>
        <w:pStyle w:val="12"/>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4.有下列情形之一的，视为供应商相互串通投标：</w:t>
      </w:r>
    </w:p>
    <w:p w14:paraId="6B0FFA59">
      <w:pPr>
        <w:pStyle w:val="12"/>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4.1不同供应商的投标（响应）文件由同一单位或者个人编制；</w:t>
      </w:r>
    </w:p>
    <w:p w14:paraId="542E1BAD">
      <w:pPr>
        <w:pStyle w:val="12"/>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4.2不同供应商委托同一单位或者个人办理投标事宜；</w:t>
      </w:r>
    </w:p>
    <w:p w14:paraId="1E813633">
      <w:pPr>
        <w:pStyle w:val="12"/>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4.3不同供应商的投标（响应）文件载明的项目管理成员为同一人；</w:t>
      </w:r>
    </w:p>
    <w:p w14:paraId="12F0D91D">
      <w:pPr>
        <w:pStyle w:val="12"/>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4.4不同供应商的投标（响应）文件异常一致或者投标报价呈规律性差异；</w:t>
      </w:r>
    </w:p>
    <w:p w14:paraId="3D0073DB">
      <w:pPr>
        <w:pStyle w:val="12"/>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4.5不同供应商的投标（响应）文件相互混装；</w:t>
      </w:r>
    </w:p>
    <w:p w14:paraId="4F61400F">
      <w:pPr>
        <w:pStyle w:val="12"/>
        <w:tabs>
          <w:tab w:val="left" w:pos="1069"/>
          <w:tab w:val="left" w:pos="2352"/>
        </w:tabs>
        <w:adjustRightInd w:val="0"/>
        <w:spacing w:line="400" w:lineRule="exact"/>
        <w:ind w:left="443" w:leftChars="208"/>
        <w:rPr>
          <w:rFonts w:hint="eastAsia" w:hAnsi="宋体" w:cs="宋体"/>
          <w:color w:val="auto"/>
          <w:sz w:val="22"/>
          <w:highlight w:val="none"/>
        </w:rPr>
      </w:pPr>
      <w:r>
        <w:rPr>
          <w:rFonts w:hint="eastAsia" w:hAnsi="宋体" w:cs="宋体"/>
          <w:color w:val="auto"/>
          <w:sz w:val="22"/>
          <w:highlight w:val="none"/>
        </w:rPr>
        <w:t>4.6经评审小组认定供应商进行串通投标的，评审小组可以对相关供应商做出无效报价处理，并上报政府采购管理部门进行进一步处理。</w:t>
      </w:r>
    </w:p>
    <w:p w14:paraId="47DAD77A">
      <w:pPr>
        <w:pStyle w:val="12"/>
        <w:adjustRightInd w:val="0"/>
        <w:spacing w:line="400" w:lineRule="exact"/>
        <w:ind w:left="443" w:leftChars="208"/>
        <w:rPr>
          <w:rFonts w:hint="eastAsia" w:cs="宋体"/>
          <w:b/>
          <w:bCs/>
          <w:color w:val="auto"/>
          <w:sz w:val="22"/>
          <w:highlight w:val="none"/>
          <w:u w:val="single"/>
        </w:rPr>
      </w:pPr>
      <w:r>
        <w:rPr>
          <w:rFonts w:hint="eastAsia" w:cs="宋体"/>
          <w:b/>
          <w:bCs/>
          <w:color w:val="auto"/>
          <w:sz w:val="22"/>
          <w:highlight w:val="none"/>
          <w:u w:val="single"/>
          <w:lang w:val="en-US" w:eastAsia="zh-CN"/>
        </w:rPr>
        <w:t>5</w:t>
      </w:r>
      <w:r>
        <w:rPr>
          <w:rFonts w:hint="eastAsia" w:cs="宋体"/>
          <w:b/>
          <w:bCs/>
          <w:color w:val="auto"/>
          <w:sz w:val="22"/>
          <w:highlight w:val="none"/>
          <w:u w:val="single"/>
        </w:rPr>
        <w:t>.除政府采购法律法规规章规定的属于恶意串通、视为串通投标情形外，在不影响公平竞争</w:t>
      </w:r>
    </w:p>
    <w:p w14:paraId="4743A6E5">
      <w:pPr>
        <w:pStyle w:val="12"/>
        <w:adjustRightInd w:val="0"/>
        <w:spacing w:line="400" w:lineRule="exact"/>
        <w:rPr>
          <w:rFonts w:hint="eastAsia" w:cs="宋体"/>
          <w:b/>
          <w:bCs/>
          <w:color w:val="auto"/>
          <w:sz w:val="22"/>
          <w:highlight w:val="none"/>
          <w:u w:val="single"/>
        </w:rPr>
      </w:pPr>
      <w:r>
        <w:rPr>
          <w:rFonts w:hint="eastAsia" w:cs="宋体"/>
          <w:b/>
          <w:bCs/>
          <w:color w:val="auto"/>
          <w:sz w:val="22"/>
          <w:highlight w:val="none"/>
          <w:u w:val="single"/>
        </w:rPr>
        <w:t>的前提下，参与同一个采购包（标段）的供应商存在下列情形之一且无法合理解释的，其投标（响应）文件无效：</w:t>
      </w:r>
    </w:p>
    <w:p w14:paraId="7D590C2D">
      <w:pPr>
        <w:pStyle w:val="12"/>
        <w:numPr>
          <w:ilvl w:val="0"/>
          <w:numId w:val="6"/>
        </w:numPr>
        <w:adjustRightInd w:val="0"/>
        <w:spacing w:line="400" w:lineRule="exact"/>
        <w:ind w:left="443" w:leftChars="208"/>
        <w:rPr>
          <w:rFonts w:hint="eastAsia" w:cs="宋体"/>
          <w:b/>
          <w:bCs/>
          <w:color w:val="auto"/>
          <w:sz w:val="22"/>
          <w:highlight w:val="none"/>
          <w:u w:val="single"/>
        </w:rPr>
      </w:pPr>
      <w:r>
        <w:rPr>
          <w:rFonts w:hint="eastAsia" w:cs="宋体"/>
          <w:b/>
          <w:bCs/>
          <w:color w:val="auto"/>
          <w:sz w:val="22"/>
          <w:highlight w:val="none"/>
          <w:u w:val="single"/>
        </w:rPr>
        <w:t>不同供应商的电子投标（响应）文件上传计算机的网卡MAC地址或硬盘序列号等硬件</w:t>
      </w:r>
    </w:p>
    <w:p w14:paraId="47D48A31">
      <w:pPr>
        <w:pStyle w:val="12"/>
        <w:adjustRightInd w:val="0"/>
        <w:spacing w:line="400" w:lineRule="exact"/>
        <w:rPr>
          <w:rFonts w:hint="eastAsia" w:cs="宋体"/>
          <w:b/>
          <w:bCs/>
          <w:color w:val="auto"/>
          <w:sz w:val="22"/>
          <w:highlight w:val="none"/>
          <w:u w:val="single"/>
        </w:rPr>
      </w:pPr>
      <w:r>
        <w:rPr>
          <w:rFonts w:hint="eastAsia" w:cs="宋体"/>
          <w:b/>
          <w:bCs/>
          <w:color w:val="auto"/>
          <w:sz w:val="22"/>
          <w:highlight w:val="none"/>
          <w:u w:val="single"/>
        </w:rPr>
        <w:t>信息相同的；</w:t>
      </w:r>
    </w:p>
    <w:p w14:paraId="2C799DA0">
      <w:pPr>
        <w:pStyle w:val="12"/>
        <w:numPr>
          <w:ilvl w:val="0"/>
          <w:numId w:val="6"/>
        </w:numPr>
        <w:adjustRightInd w:val="0"/>
        <w:spacing w:line="400" w:lineRule="exact"/>
        <w:ind w:left="443" w:leftChars="208"/>
        <w:rPr>
          <w:rFonts w:hint="eastAsia" w:cs="宋体"/>
          <w:b/>
          <w:bCs/>
          <w:color w:val="auto"/>
          <w:sz w:val="22"/>
          <w:highlight w:val="none"/>
          <w:u w:val="single"/>
        </w:rPr>
      </w:pPr>
      <w:r>
        <w:rPr>
          <w:rFonts w:hint="eastAsia" w:cs="宋体"/>
          <w:b/>
          <w:bCs/>
          <w:color w:val="auto"/>
          <w:sz w:val="22"/>
          <w:highlight w:val="none"/>
          <w:u w:val="single"/>
        </w:rPr>
        <w:t>上传的电子投标（响应）文件若出现使用本项目其他投标（响应）供应商的数字证书</w:t>
      </w:r>
    </w:p>
    <w:p w14:paraId="0445E900">
      <w:pPr>
        <w:pStyle w:val="12"/>
        <w:adjustRightInd w:val="0"/>
        <w:spacing w:line="400" w:lineRule="exact"/>
        <w:rPr>
          <w:rFonts w:hint="eastAsia" w:cs="宋体"/>
          <w:b/>
          <w:bCs/>
          <w:color w:val="auto"/>
          <w:sz w:val="22"/>
          <w:highlight w:val="none"/>
          <w:u w:val="single"/>
        </w:rPr>
      </w:pPr>
      <w:r>
        <w:rPr>
          <w:rFonts w:hint="eastAsia" w:cs="宋体"/>
          <w:b/>
          <w:bCs/>
          <w:color w:val="auto"/>
          <w:sz w:val="22"/>
          <w:highlight w:val="none"/>
          <w:u w:val="single"/>
        </w:rPr>
        <w:t>加密的，或者加盖本项目其他投标（响应）供应商的电子印章的；</w:t>
      </w:r>
    </w:p>
    <w:p w14:paraId="6E7F7351">
      <w:pPr>
        <w:pStyle w:val="12"/>
        <w:adjustRightInd w:val="0"/>
        <w:spacing w:line="400" w:lineRule="exact"/>
        <w:ind w:left="443" w:leftChars="208"/>
        <w:rPr>
          <w:rFonts w:hint="eastAsia" w:cs="宋体"/>
          <w:b/>
          <w:bCs/>
          <w:color w:val="auto"/>
          <w:sz w:val="22"/>
          <w:highlight w:val="none"/>
          <w:u w:val="single"/>
        </w:rPr>
      </w:pPr>
      <w:r>
        <w:rPr>
          <w:rFonts w:hint="eastAsia" w:cs="宋体"/>
          <w:b/>
          <w:bCs/>
          <w:color w:val="auto"/>
          <w:sz w:val="22"/>
          <w:highlight w:val="none"/>
          <w:u w:val="single"/>
        </w:rPr>
        <w:t>（3）不同供应商的投标（响应）文件的内容存在3处（含）以上错误一致的；</w:t>
      </w:r>
    </w:p>
    <w:p w14:paraId="1A2DB37B">
      <w:pPr>
        <w:pStyle w:val="12"/>
        <w:adjustRightInd w:val="0"/>
        <w:snapToGrid w:val="0"/>
        <w:spacing w:line="400" w:lineRule="exact"/>
        <w:ind w:firstLine="438" w:firstLineChars="197"/>
        <w:rPr>
          <w:rFonts w:hint="eastAsia" w:cs="宋体"/>
          <w:b/>
          <w:bCs/>
          <w:color w:val="auto"/>
          <w:sz w:val="22"/>
          <w:highlight w:val="none"/>
          <w:u w:val="single"/>
        </w:rPr>
      </w:pPr>
      <w:r>
        <w:rPr>
          <w:rFonts w:hint="eastAsia" w:cs="宋体"/>
          <w:b/>
          <w:bCs/>
          <w:color w:val="auto"/>
          <w:sz w:val="22"/>
          <w:highlight w:val="none"/>
          <w:u w:val="single"/>
        </w:rPr>
        <w:t>（4）不同供应商联系人为同一人或不同联系人的联系电话一致的。</w:t>
      </w:r>
    </w:p>
    <w:p w14:paraId="5F1B19D7">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lang w:val="en-US" w:eastAsia="zh-CN"/>
        </w:rPr>
        <w:t>6</w:t>
      </w:r>
      <w:r>
        <w:rPr>
          <w:rFonts w:hint="eastAsia" w:hAnsi="宋体" w:cs="宋体"/>
          <w:color w:val="auto"/>
          <w:sz w:val="22"/>
          <w:highlight w:val="none"/>
        </w:rPr>
        <w:t>.评标原则</w:t>
      </w:r>
    </w:p>
    <w:p w14:paraId="20002A62">
      <w:pPr>
        <w:pStyle w:val="34"/>
        <w:adjustRightInd w:val="0"/>
        <w:snapToGrid w:val="0"/>
        <w:spacing w:line="400" w:lineRule="atLeast"/>
        <w:ind w:firstLine="438" w:firstLineChars="197"/>
        <w:rPr>
          <w:rFonts w:hint="eastAsia" w:ascii="宋体" w:hAnsi="宋体" w:eastAsia="宋体" w:cs="宋体"/>
          <w:color w:val="auto"/>
          <w:sz w:val="22"/>
          <w:szCs w:val="22"/>
          <w:highlight w:val="none"/>
        </w:rPr>
      </w:pPr>
      <w:bookmarkStart w:id="40" w:name="_Toc132125985"/>
      <w:bookmarkStart w:id="41" w:name="_Toc132655778"/>
      <w:bookmarkStart w:id="42" w:name="_Toc132125039"/>
      <w:bookmarkStart w:id="43" w:name="_Toc132123549"/>
      <w:bookmarkStart w:id="44" w:name="_Toc132125097"/>
      <w:bookmarkStart w:id="45" w:name="_Toc132122121"/>
      <w:bookmarkStart w:id="46" w:name="_Toc132125153"/>
      <w:bookmarkStart w:id="47" w:name="_Toc24884_WPSOffice_Level2"/>
      <w:bookmarkStart w:id="48" w:name="_Toc132124596"/>
      <w:bookmarkStart w:id="49" w:name="_Toc132123883"/>
      <w:bookmarkStart w:id="50" w:name="_Toc132122418"/>
      <w:bookmarkStart w:id="51" w:name="_Toc493530208"/>
      <w:bookmarkStart w:id="52" w:name="_Toc132123441"/>
      <w:bookmarkStart w:id="53" w:name="_Toc132125576"/>
      <w:bookmarkStart w:id="54" w:name="_Toc132126156"/>
      <w:bookmarkStart w:id="55" w:name="_Toc132123840"/>
      <w:bookmarkStart w:id="56" w:name="_Toc132123636"/>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u w:val="single"/>
        </w:rPr>
        <w:t>投标截止时或评审过程中有效投标供应商不足三家的，不予开标或评标</w:t>
      </w:r>
      <w:r>
        <w:rPr>
          <w:rFonts w:hint="eastAsia" w:ascii="宋体" w:hAnsi="宋体" w:eastAsia="宋体" w:cs="宋体"/>
          <w:color w:val="auto"/>
          <w:sz w:val="22"/>
          <w:szCs w:val="22"/>
          <w:highlight w:val="none"/>
        </w:rPr>
        <w:t>。</w:t>
      </w:r>
    </w:p>
    <w:p w14:paraId="0AD7F538">
      <w:pPr>
        <w:pStyle w:val="34"/>
        <w:adjustRightInd w:val="0"/>
        <w:snapToGrid w:val="0"/>
        <w:spacing w:line="400" w:lineRule="atLeast"/>
        <w:ind w:firstLine="438" w:firstLineChars="19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评审小组按照询价文件的要求和条件对投标文件进行商务、技术评审。</w:t>
      </w:r>
    </w:p>
    <w:p w14:paraId="0FFC50CA">
      <w:pPr>
        <w:pStyle w:val="12"/>
        <w:tabs>
          <w:tab w:val="left" w:pos="1069"/>
          <w:tab w:val="left" w:pos="2352"/>
        </w:tabs>
        <w:adjustRightInd w:val="0"/>
        <w:snapToGrid w:val="0"/>
        <w:spacing w:line="400" w:lineRule="exact"/>
        <w:ind w:firstLine="480"/>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w:t>
      </w:r>
      <w:r>
        <w:rPr>
          <w:rFonts w:hint="eastAsia" w:ascii="宋体" w:hAnsi="宋体" w:eastAsia="宋体" w:cs="宋体"/>
          <w:color w:val="auto"/>
          <w:sz w:val="22"/>
          <w:szCs w:val="22"/>
          <w:highlight w:val="none"/>
          <w:lang w:val="en-US" w:eastAsia="zh-CN"/>
        </w:rPr>
        <w:t>竞争性磋商</w:t>
      </w:r>
      <w:r>
        <w:rPr>
          <w:rFonts w:hint="eastAsia" w:ascii="宋体" w:hAnsi="宋体" w:eastAsia="宋体" w:cs="宋体"/>
          <w:color w:val="auto"/>
          <w:sz w:val="22"/>
          <w:szCs w:val="22"/>
          <w:highlight w:val="none"/>
        </w:rPr>
        <w:t>文件第七部分。</w:t>
      </w:r>
    </w:p>
    <w:p w14:paraId="6B2DD9B4">
      <w:pPr>
        <w:pStyle w:val="12"/>
        <w:tabs>
          <w:tab w:val="left" w:pos="1069"/>
          <w:tab w:val="left" w:pos="2352"/>
        </w:tabs>
        <w:adjustRightInd w:val="0"/>
        <w:snapToGrid w:val="0"/>
        <w:spacing w:line="400" w:lineRule="exact"/>
        <w:ind w:firstLine="480"/>
        <w:outlineLvl w:val="0"/>
        <w:rPr>
          <w:rFonts w:hAnsi="宋体" w:cs="宋体"/>
          <w:b/>
          <w:bCs/>
          <w:color w:val="auto"/>
          <w:sz w:val="22"/>
          <w:highlight w:val="none"/>
        </w:rPr>
      </w:pPr>
      <w:r>
        <w:rPr>
          <w:rFonts w:hint="eastAsia" w:hAnsi="宋体" w:cs="宋体"/>
          <w:b/>
          <w:bCs/>
          <w:color w:val="auto"/>
          <w:sz w:val="22"/>
          <w:highlight w:val="none"/>
        </w:rPr>
        <w:t>六、授予合同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318D874">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7" w:name="_Toc23038_WPSOffice_Level3"/>
      <w:r>
        <w:rPr>
          <w:rFonts w:hint="eastAsia" w:hAnsi="宋体" w:cs="宋体"/>
          <w:color w:val="auto"/>
          <w:sz w:val="22"/>
          <w:highlight w:val="none"/>
        </w:rPr>
        <w:t>1.决标</w:t>
      </w:r>
      <w:bookmarkEnd w:id="57"/>
    </w:p>
    <w:p w14:paraId="083BBF21">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评标结束后，评审小组按照竞争性磋商文件确定的评标办法推荐中标（成交）供应商。</w:t>
      </w:r>
    </w:p>
    <w:p w14:paraId="5D2CE3B6">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8" w:name="_Toc764_WPSOffice_Level3"/>
      <w:r>
        <w:rPr>
          <w:rFonts w:hint="eastAsia" w:hAnsi="宋体" w:cs="宋体"/>
          <w:color w:val="auto"/>
          <w:sz w:val="22"/>
          <w:highlight w:val="none"/>
        </w:rPr>
        <w:t>2.</w:t>
      </w:r>
      <w:bookmarkEnd w:id="58"/>
      <w:r>
        <w:rPr>
          <w:rFonts w:hint="eastAsia" w:hAnsi="宋体" w:cs="宋体"/>
          <w:color w:val="auto"/>
          <w:sz w:val="22"/>
          <w:highlight w:val="none"/>
        </w:rPr>
        <w:t>中标（成交）通知书</w:t>
      </w:r>
    </w:p>
    <w:p w14:paraId="78004342">
      <w:pPr>
        <w:tabs>
          <w:tab w:val="left" w:pos="1069"/>
          <w:tab w:val="left" w:pos="2352"/>
        </w:tabs>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029135DF">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19FF6D73">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3.中标（成交）无效</w:t>
      </w:r>
    </w:p>
    <w:p w14:paraId="2EFB6005">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1）发现中标（成交）供应商资格无效或中标（成交）供应商放弃成交或拒绝与采购人签订合同的,按相关法律法规执行，原则上重新开展政府采购活动。</w:t>
      </w:r>
    </w:p>
    <w:p w14:paraId="575DD492">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2）有《中华人民共和国政府采购法实施条例》第七十一条、第七十二条、第七十三条、第七十四条规定的违法行为之一，由政府采购监管部门依法处理。</w:t>
      </w:r>
    </w:p>
    <w:p w14:paraId="464B0EAA">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9" w:name="_Toc3709_WPSOffice_Level3"/>
      <w:r>
        <w:rPr>
          <w:rFonts w:hint="eastAsia" w:hAnsi="宋体" w:cs="宋体"/>
          <w:color w:val="auto"/>
          <w:sz w:val="22"/>
          <w:highlight w:val="none"/>
        </w:rPr>
        <w:t>4.签订合同</w:t>
      </w:r>
      <w:bookmarkEnd w:id="59"/>
    </w:p>
    <w:p w14:paraId="149F3DEE">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3BCE621">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4.2 竞争性磋商文件、中标（成交）供应商的投标（响应）文件及投标修改文件、评标过程中有关澄清文件及经双方签字的询标纪要（承诺）和中标（成交）通知书均作为合同附件。</w:t>
      </w:r>
    </w:p>
    <w:p w14:paraId="13570A17">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4.3 拒签合同的责任</w:t>
      </w:r>
    </w:p>
    <w:p w14:paraId="6D022AAE">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5870182D">
      <w:pPr>
        <w:pStyle w:val="12"/>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60" w:name="_Toc21884_WPSOffice_Level3"/>
      <w:r>
        <w:rPr>
          <w:rFonts w:hint="eastAsia" w:hAnsi="宋体" w:cs="宋体"/>
          <w:color w:val="auto"/>
          <w:sz w:val="22"/>
          <w:highlight w:val="none"/>
        </w:rPr>
        <w:t>5.</w:t>
      </w:r>
      <w:bookmarkEnd w:id="60"/>
      <w:r>
        <w:rPr>
          <w:rFonts w:hint="eastAsia" w:hAnsi="宋体" w:cs="宋体"/>
          <w:color w:val="auto"/>
          <w:sz w:val="22"/>
          <w:highlight w:val="none"/>
        </w:rPr>
        <w:t>履约保证金</w:t>
      </w:r>
    </w:p>
    <w:p w14:paraId="123F0D8F">
      <w:pPr>
        <w:tabs>
          <w:tab w:val="left" w:pos="2352"/>
        </w:tabs>
        <w:autoSpaceDE w:val="0"/>
        <w:autoSpaceDN w:val="0"/>
        <w:adjustRightInd w:val="0"/>
        <w:snapToGrid w:val="0"/>
        <w:spacing w:line="400" w:lineRule="exact"/>
        <w:ind w:firstLine="446" w:firstLineChars="200"/>
        <w:textAlignment w:val="bottom"/>
        <w:rPr>
          <w:rFonts w:ascii="宋体" w:hAnsi="宋体" w:cs="宋体"/>
          <w:color w:val="auto"/>
          <w:sz w:val="22"/>
          <w:highlight w:val="none"/>
        </w:rPr>
      </w:pPr>
      <w:r>
        <w:rPr>
          <w:rFonts w:hint="eastAsia" w:hAnsi="宋体" w:cs="宋体"/>
          <w:color w:val="auto"/>
          <w:sz w:val="22"/>
          <w:highlight w:val="none"/>
        </w:rPr>
        <w:t>无</w:t>
      </w:r>
      <w:r>
        <w:rPr>
          <w:rFonts w:hint="eastAsia" w:ascii="宋体" w:hAnsi="宋体" w:cs="宋体"/>
          <w:color w:val="auto"/>
          <w:sz w:val="22"/>
          <w:highlight w:val="none"/>
        </w:rPr>
        <w:t>。</w:t>
      </w:r>
    </w:p>
    <w:p w14:paraId="2D83E4FD">
      <w:pPr>
        <w:tabs>
          <w:tab w:val="left" w:pos="1069"/>
          <w:tab w:val="left" w:pos="2352"/>
        </w:tabs>
        <w:spacing w:line="400"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6.招标代理服务费</w:t>
      </w:r>
    </w:p>
    <w:p w14:paraId="18B1290E">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金额壹万壹仟壹佰</w:t>
      </w:r>
      <w:r>
        <w:rPr>
          <w:rFonts w:hint="eastAsia" w:ascii="宋体" w:hAnsi="宋体" w:cs="宋体"/>
          <w:color w:val="auto"/>
          <w:sz w:val="22"/>
          <w:highlight w:val="none"/>
          <w:u w:val="none"/>
        </w:rPr>
        <w:t>元。</w:t>
      </w:r>
      <w:r>
        <w:rPr>
          <w:rFonts w:hint="eastAsia" w:ascii="宋体" w:hAnsi="宋体" w:cs="宋体"/>
          <w:color w:val="auto"/>
          <w:sz w:val="22"/>
          <w:highlight w:val="none"/>
        </w:rPr>
        <w:t>招标代理费汇入账号以招标代理机构提供的为准。</w:t>
      </w:r>
    </w:p>
    <w:p w14:paraId="181645D5">
      <w:pPr>
        <w:tabs>
          <w:tab w:val="left" w:pos="1069"/>
          <w:tab w:val="left" w:pos="2352"/>
        </w:tabs>
        <w:spacing w:line="400" w:lineRule="exact"/>
        <w:ind w:firstLine="446" w:firstLineChars="200"/>
        <w:rPr>
          <w:rFonts w:ascii="宋体" w:hAnsi="宋体" w:cs="宋体"/>
          <w:b/>
          <w:bCs/>
          <w:color w:val="auto"/>
          <w:sz w:val="22"/>
          <w:highlight w:val="none"/>
        </w:rPr>
      </w:pPr>
      <w:r>
        <w:rPr>
          <w:rFonts w:hint="eastAsia" w:ascii="宋体" w:hAnsi="宋体" w:cs="宋体"/>
          <w:b/>
          <w:bCs/>
          <w:color w:val="auto"/>
          <w:sz w:val="22"/>
          <w:highlight w:val="none"/>
        </w:rPr>
        <w:t>七、投诉质疑</w:t>
      </w:r>
    </w:p>
    <w:p w14:paraId="01F79B52">
      <w:pPr>
        <w:pStyle w:val="36"/>
        <w:tabs>
          <w:tab w:val="left" w:pos="1069"/>
          <w:tab w:val="left" w:pos="2352"/>
        </w:tabs>
        <w:snapToGrid w:val="0"/>
        <w:spacing w:before="0" w:line="400" w:lineRule="exact"/>
        <w:rPr>
          <w:rFonts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5CC8D483">
      <w:pPr>
        <w:pStyle w:val="36"/>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1.供应商询问</w:t>
      </w:r>
    </w:p>
    <w:p w14:paraId="436CFE9B">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359A73B1">
      <w:pPr>
        <w:pStyle w:val="36"/>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2.供应商质疑</w:t>
      </w:r>
    </w:p>
    <w:p w14:paraId="30D691B2">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hAnsi="宋体" w:cs="宋体"/>
          <w:color w:val="auto"/>
          <w:sz w:val="22"/>
          <w:szCs w:val="22"/>
          <w:highlight w:val="none"/>
          <w:lang w:val="zh-CN"/>
        </w:rPr>
        <w:t>否则，不予受理：</w:t>
      </w:r>
    </w:p>
    <w:p w14:paraId="620F0CF9">
      <w:pPr>
        <w:pStyle w:val="12"/>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（1）供应商如认为招标公告信息使自身的合法权益受到损害的，应于自招标公告发布之日起七个工</w:t>
      </w:r>
      <w:r>
        <w:rPr>
          <w:rFonts w:hint="eastAsia" w:hAnsi="宋体" w:cs="宋体"/>
          <w:color w:val="auto"/>
          <w:sz w:val="22"/>
          <w:szCs w:val="22"/>
          <w:highlight w:val="none"/>
          <w:lang w:eastAsia="zh-CN"/>
        </w:rPr>
        <w:t>作日</w:t>
      </w:r>
      <w:r>
        <w:rPr>
          <w:rFonts w:hint="eastAsia" w:hAnsi="宋体" w:cs="宋体"/>
          <w:color w:val="auto"/>
          <w:sz w:val="22"/>
          <w:szCs w:val="22"/>
          <w:highlight w:val="none"/>
        </w:rPr>
        <w:t>内以书面形式向招标代理机构提出质疑；</w:t>
      </w:r>
    </w:p>
    <w:p w14:paraId="20A2D478">
      <w:pPr>
        <w:pStyle w:val="12"/>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（2）</w:t>
      </w:r>
      <w:r>
        <w:rPr>
          <w:rFonts w:hint="eastAsia" w:hAnsi="宋体" w:cs="宋体"/>
          <w:color w:val="auto"/>
          <w:sz w:val="22"/>
          <w:szCs w:val="22"/>
          <w:highlight w:val="none"/>
          <w:lang w:val="zh-CN"/>
        </w:rPr>
        <w:t>对竞争性磋商文件提出质疑的，质疑期限为供应商获得竞争性磋商文件之日或者竞争性磋商文件公告期限届满之日起计算。</w:t>
      </w:r>
    </w:p>
    <w:p w14:paraId="115237F0">
      <w:pPr>
        <w:tabs>
          <w:tab w:val="left" w:pos="1069"/>
          <w:tab w:val="left" w:pos="2352"/>
        </w:tabs>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 xml:space="preserve">   （3）</w:t>
      </w:r>
      <w:r>
        <w:rPr>
          <w:rFonts w:hint="eastAsia" w:ascii="宋体" w:hAnsi="宋体" w:cs="宋体"/>
          <w:color w:val="auto"/>
          <w:kern w:val="0"/>
          <w:sz w:val="22"/>
          <w:highlight w:val="none"/>
          <w:lang w:val="zh-CN"/>
        </w:rPr>
        <w:t>对采购过程提出质疑的，质疑期限为各采购程序环节结束之日起计算。</w:t>
      </w:r>
    </w:p>
    <w:p w14:paraId="733DE8DB">
      <w:pPr>
        <w:pStyle w:val="12"/>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lang w:val="zh-CN"/>
        </w:rPr>
        <w:t xml:space="preserve">   （4）对采购结果提出质疑的，质疑期限自采购结果公告（包括公示、预公告、结果变更公告等）期限届满之日起计算。</w:t>
      </w:r>
    </w:p>
    <w:p w14:paraId="36D81C67">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2.2供应商提交的质疑书需一式三份，由法定代表人签字（或盖章）并加盖单位公章。质疑书至少应包括下列主要内容：</w:t>
      </w:r>
    </w:p>
    <w:p w14:paraId="72D7820A">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（1）供应商的名称、地址、邮政编码、联系人、联系电话；</w:t>
      </w:r>
    </w:p>
    <w:p w14:paraId="3FDBF18A">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（2）质疑项目的名称、编号；</w:t>
      </w:r>
    </w:p>
    <w:p w14:paraId="3331C20B">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（3）具体、明确的质疑事项和与质疑事项相关的请求；</w:t>
      </w:r>
    </w:p>
    <w:p w14:paraId="61860609">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（4）事实依据；</w:t>
      </w:r>
    </w:p>
    <w:p w14:paraId="7E846B3F">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（5）必要的法律依据；</w:t>
      </w:r>
    </w:p>
    <w:p w14:paraId="534A0882">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（6）提出质疑的日期。</w:t>
      </w:r>
    </w:p>
    <w:p w14:paraId="54421F3B">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0FD854F">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2AE06849">
      <w:pPr>
        <w:pStyle w:val="36"/>
        <w:tabs>
          <w:tab w:val="left" w:pos="1069"/>
          <w:tab w:val="left" w:pos="2352"/>
        </w:tabs>
        <w:spacing w:before="0" w:line="400" w:lineRule="exact"/>
        <w:ind w:firstLine="446" w:firstLineChars="200"/>
        <w:rPr>
          <w:rFonts w:ascii="宋体" w:hAnsi="宋体" w:cs="宋体"/>
          <w:b/>
          <w:color w:val="auto"/>
          <w:sz w:val="22"/>
          <w:szCs w:val="22"/>
          <w:highlight w:val="none"/>
        </w:rPr>
      </w:pPr>
      <w:r>
        <w:rPr>
          <w:rFonts w:hint="eastAsia" w:ascii="宋体" w:hAnsi="宋体" w:cs="宋体"/>
          <w:b/>
          <w:color w:val="auto"/>
          <w:sz w:val="22"/>
          <w:szCs w:val="22"/>
          <w:highlight w:val="none"/>
        </w:rPr>
        <w:t>3.供应商投诉</w:t>
      </w:r>
    </w:p>
    <w:p w14:paraId="7F66A691">
      <w:pPr>
        <w:pStyle w:val="12"/>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0094C7CC">
      <w:pPr>
        <w:pStyle w:val="12"/>
        <w:tabs>
          <w:tab w:val="left" w:pos="1069"/>
          <w:tab w:val="left" w:pos="2352"/>
        </w:tabs>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75020DD7">
      <w:pPr>
        <w:pStyle w:val="12"/>
        <w:tabs>
          <w:tab w:val="left" w:pos="1069"/>
          <w:tab w:val="left" w:pos="2352"/>
        </w:tabs>
        <w:spacing w:line="400" w:lineRule="exact"/>
        <w:ind w:firstLine="478" w:firstLineChars="225"/>
        <w:rPr>
          <w:rFonts w:ascii="宋体" w:hAnsi="宋体" w:eastAsia="宋体"/>
          <w:b/>
          <w:bCs/>
          <w:color w:val="auto"/>
          <w:highlight w:val="none"/>
          <w:lang w:val="en-US" w:eastAsia="zh-CN"/>
        </w:rPr>
      </w:pPr>
      <w:r>
        <w:rPr>
          <w:rFonts w:hint="eastAsia" w:ascii="宋体" w:hAnsi="宋体"/>
          <w:color w:val="auto"/>
          <w:highlight w:val="none"/>
        </w:rPr>
        <w:t>质疑函范本</w:t>
      </w:r>
      <w:r>
        <w:rPr>
          <w:rFonts w:hint="eastAsia" w:ascii="宋体" w:hAnsi="宋体"/>
          <w:color w:val="auto"/>
          <w:highlight w:val="none"/>
          <w:lang w:eastAsia="zh-CN"/>
        </w:rPr>
        <w:t>、</w:t>
      </w:r>
      <w:r>
        <w:rPr>
          <w:rFonts w:hint="eastAsia" w:ascii="宋体" w:hAnsi="宋体"/>
          <w:color w:val="auto"/>
          <w:highlight w:val="none"/>
        </w:rPr>
        <w:t>投诉书范本</w:t>
      </w:r>
      <w:r>
        <w:rPr>
          <w:rFonts w:hint="eastAsia" w:ascii="宋体" w:hAnsi="宋体"/>
          <w:color w:val="auto"/>
          <w:highlight w:val="none"/>
          <w:lang w:val="en-US" w:eastAsia="zh-CN"/>
        </w:rPr>
        <w:t>请至浙江政府采购网下载。</w:t>
      </w:r>
    </w:p>
    <w:p w14:paraId="7084FF92">
      <w:pPr>
        <w:pStyle w:val="34"/>
        <w:spacing w:line="400" w:lineRule="exact"/>
        <w:ind w:firstLine="446" w:firstLineChars="200"/>
        <w:rPr>
          <w:rFonts w:hint="eastAsia"/>
          <w:b/>
          <w:bCs/>
          <w:color w:val="auto"/>
          <w:sz w:val="22"/>
          <w:szCs w:val="22"/>
          <w:highlight w:val="none"/>
        </w:rPr>
      </w:pPr>
      <w:r>
        <w:rPr>
          <w:rFonts w:hint="eastAsia"/>
          <w:b/>
          <w:bCs/>
          <w:color w:val="auto"/>
          <w:sz w:val="22"/>
          <w:szCs w:val="22"/>
          <w:highlight w:val="none"/>
        </w:rPr>
        <w:t>4.线上质疑及投诉</w:t>
      </w:r>
    </w:p>
    <w:p w14:paraId="443AFDA9">
      <w:pPr>
        <w:pStyle w:val="34"/>
        <w:spacing w:line="400" w:lineRule="exact"/>
        <w:ind w:firstLine="446" w:firstLineChars="200"/>
        <w:rPr>
          <w:rFonts w:ascii="宋体" w:hAnsi="宋体" w:cs="宋体"/>
          <w:b/>
          <w:color w:val="auto"/>
          <w:sz w:val="32"/>
          <w:szCs w:val="32"/>
          <w:highlight w:val="none"/>
        </w:rPr>
      </w:pPr>
      <w:r>
        <w:rPr>
          <w:rFonts w:hint="eastAsia"/>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bookmarkStart w:id="61" w:name="_Toc29876_WPSOffice_Level1"/>
    </w:p>
    <w:p w14:paraId="7FF985C6">
      <w:pPr>
        <w:tabs>
          <w:tab w:val="left" w:pos="1069"/>
          <w:tab w:val="left" w:pos="2352"/>
        </w:tabs>
        <w:jc w:val="center"/>
        <w:rPr>
          <w:rFonts w:hint="eastAsia" w:ascii="宋体" w:hAnsi="宋体" w:cs="宋体"/>
          <w:b/>
          <w:color w:val="auto"/>
          <w:sz w:val="32"/>
          <w:szCs w:val="32"/>
          <w:highlight w:val="none"/>
        </w:rPr>
      </w:pPr>
    </w:p>
    <w:p w14:paraId="2691756F">
      <w:pPr>
        <w:tabs>
          <w:tab w:val="left" w:pos="1069"/>
          <w:tab w:val="left" w:pos="2352"/>
        </w:tabs>
        <w:jc w:val="center"/>
        <w:rPr>
          <w:rFonts w:hint="eastAsia" w:ascii="宋体" w:hAnsi="宋体" w:cs="宋体"/>
          <w:b/>
          <w:color w:val="auto"/>
          <w:sz w:val="32"/>
          <w:szCs w:val="32"/>
          <w:highlight w:val="none"/>
        </w:rPr>
      </w:pPr>
    </w:p>
    <w:p w14:paraId="1971BFB5">
      <w:pPr>
        <w:tabs>
          <w:tab w:val="left" w:pos="1069"/>
          <w:tab w:val="left" w:pos="2352"/>
        </w:tabs>
        <w:jc w:val="center"/>
        <w:rPr>
          <w:rFonts w:hint="eastAsia" w:ascii="宋体" w:hAnsi="宋体" w:cs="宋体"/>
          <w:b/>
          <w:color w:val="auto"/>
          <w:sz w:val="32"/>
          <w:szCs w:val="32"/>
          <w:highlight w:val="none"/>
        </w:rPr>
      </w:pPr>
    </w:p>
    <w:p w14:paraId="51829BC1">
      <w:pPr>
        <w:tabs>
          <w:tab w:val="left" w:pos="1069"/>
          <w:tab w:val="left" w:pos="2352"/>
        </w:tabs>
        <w:jc w:val="center"/>
        <w:rPr>
          <w:rFonts w:hint="eastAsia" w:ascii="宋体" w:hAnsi="宋体" w:cs="宋体"/>
          <w:b/>
          <w:color w:val="auto"/>
          <w:sz w:val="32"/>
          <w:szCs w:val="32"/>
          <w:highlight w:val="none"/>
        </w:rPr>
      </w:pPr>
    </w:p>
    <w:p w14:paraId="626F9015">
      <w:pPr>
        <w:tabs>
          <w:tab w:val="left" w:pos="1069"/>
          <w:tab w:val="left" w:pos="2352"/>
        </w:tabs>
        <w:jc w:val="center"/>
        <w:rPr>
          <w:rFonts w:hint="eastAsia" w:ascii="宋体" w:hAnsi="宋体" w:cs="宋体"/>
          <w:b/>
          <w:color w:val="auto"/>
          <w:sz w:val="32"/>
          <w:szCs w:val="32"/>
          <w:highlight w:val="none"/>
        </w:rPr>
      </w:pPr>
    </w:p>
    <w:p w14:paraId="18640D64">
      <w:pPr>
        <w:tabs>
          <w:tab w:val="left" w:pos="1069"/>
          <w:tab w:val="left" w:pos="2352"/>
        </w:tabs>
        <w:jc w:val="center"/>
        <w:rPr>
          <w:rFonts w:hint="eastAsia" w:ascii="宋体" w:hAnsi="宋体" w:cs="宋体"/>
          <w:b/>
          <w:color w:val="auto"/>
          <w:sz w:val="32"/>
          <w:szCs w:val="32"/>
          <w:highlight w:val="none"/>
        </w:rPr>
      </w:pPr>
    </w:p>
    <w:p w14:paraId="4FDB2D7C">
      <w:pPr>
        <w:tabs>
          <w:tab w:val="left" w:pos="1069"/>
          <w:tab w:val="left" w:pos="2352"/>
        </w:tabs>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105FEED8">
      <w:pPr>
        <w:tabs>
          <w:tab w:val="left" w:pos="1069"/>
          <w:tab w:val="left" w:pos="2352"/>
        </w:tabs>
        <w:jc w:val="left"/>
        <w:rPr>
          <w:rFonts w:ascii="宋体"/>
          <w:b/>
          <w:bCs/>
          <w:color w:val="auto"/>
          <w:sz w:val="22"/>
          <w:highlight w:val="none"/>
        </w:rPr>
      </w:pPr>
      <w:bookmarkStart w:id="62" w:name="_Toc25899_WPSOffice_Level2"/>
      <w:bookmarkStart w:id="63" w:name="_Toc10483_WPSOffice_Level2"/>
      <w:r>
        <w:rPr>
          <w:rFonts w:hint="eastAsia" w:ascii="宋体"/>
          <w:b/>
          <w:bCs/>
          <w:color w:val="auto"/>
          <w:sz w:val="22"/>
          <w:highlight w:val="none"/>
        </w:rPr>
        <w:t>一、</w:t>
      </w:r>
      <w:bookmarkEnd w:id="62"/>
      <w:r>
        <w:rPr>
          <w:rFonts w:hint="eastAsia" w:ascii="宋体"/>
          <w:b/>
          <w:bCs/>
          <w:color w:val="auto"/>
          <w:sz w:val="22"/>
          <w:highlight w:val="none"/>
        </w:rPr>
        <w:t>中小企业（含监狱企业、残疾人福利性单位）扶持政策说明</w:t>
      </w:r>
    </w:p>
    <w:p w14:paraId="53C240D9">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6508759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7FBE60F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5386A1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316B335E">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30B43FD0">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2FD05063">
      <w:pPr>
        <w:tabs>
          <w:tab w:val="left" w:pos="1069"/>
          <w:tab w:val="left" w:pos="2352"/>
        </w:tabs>
        <w:spacing w:line="440" w:lineRule="atLeast"/>
        <w:jc w:val="left"/>
        <w:rPr>
          <w:rFonts w:hAnsi="宋体" w:cs="宋体"/>
          <w:color w:val="auto"/>
          <w:sz w:val="22"/>
          <w:highlight w:val="none"/>
        </w:rPr>
      </w:pPr>
      <w:r>
        <w:rPr>
          <w:rFonts w:hint="eastAsia" w:ascii="宋体"/>
          <w:color w:val="auto"/>
          <w:sz w:val="22"/>
          <w:highlight w:val="none"/>
        </w:rPr>
        <w:t>（6）</w:t>
      </w:r>
      <w:r>
        <w:rPr>
          <w:rFonts w:hint="eastAsia" w:hAnsi="宋体" w:cs="宋体"/>
          <w:color w:val="auto"/>
          <w:sz w:val="22"/>
          <w:highlight w:val="none"/>
        </w:rPr>
        <w:t>《浙江省财政厅关于进一步发挥政府采购政策 功能全力推动经济稳进提质的通知》（浙财采监〔2022〕3号）</w:t>
      </w:r>
    </w:p>
    <w:p w14:paraId="316ED491">
      <w:pPr>
        <w:tabs>
          <w:tab w:val="left" w:pos="1069"/>
          <w:tab w:val="left" w:pos="2352"/>
        </w:tabs>
        <w:spacing w:line="440" w:lineRule="atLeast"/>
        <w:jc w:val="left"/>
        <w:rPr>
          <w:color w:val="auto"/>
          <w:highlight w:val="none"/>
        </w:rPr>
      </w:pPr>
      <w:r>
        <w:rPr>
          <w:rFonts w:hint="eastAsia" w:hAnsi="宋体" w:cs="宋体"/>
          <w:color w:val="auto"/>
          <w:sz w:val="22"/>
          <w:highlight w:val="none"/>
        </w:rPr>
        <w:t>（7）《关于进一步加大政府采购 支持中小企业力度 助力扎实稳住经济 的通知》（浙财采监〔2022〕8号）</w:t>
      </w:r>
    </w:p>
    <w:p w14:paraId="58FD90F1">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lang w:eastAsia="zh-CN"/>
        </w:rPr>
        <w:t>本项目专门面向中小企业采购，投标供应商须为中小企业，</w:t>
      </w:r>
      <w:r>
        <w:rPr>
          <w:rFonts w:hint="eastAsia" w:ascii="宋体"/>
          <w:color w:val="auto"/>
          <w:sz w:val="22"/>
          <w:highlight w:val="none"/>
        </w:rPr>
        <w:t>：</w:t>
      </w:r>
    </w:p>
    <w:p w14:paraId="39FE8177">
      <w:pPr>
        <w:tabs>
          <w:tab w:val="left" w:pos="2352"/>
        </w:tabs>
        <w:spacing w:line="440" w:lineRule="atLeast"/>
        <w:jc w:val="left"/>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中小</w:t>
      </w:r>
      <w:r>
        <w:rPr>
          <w:rFonts w:hint="eastAsia" w:ascii="宋体"/>
          <w:color w:val="auto"/>
          <w:sz w:val="22"/>
          <w:highlight w:val="none"/>
        </w:rPr>
        <w:t>企业：中小企业声明函（原件，加盖供应商公章，格式见附件1）</w:t>
      </w:r>
    </w:p>
    <w:p w14:paraId="7E51A9D5">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7D1A8453">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42599E15">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4DAB87A3">
      <w:pPr>
        <w:tabs>
          <w:tab w:val="left" w:pos="2352"/>
        </w:tabs>
        <w:spacing w:line="440" w:lineRule="atLeast"/>
        <w:jc w:val="left"/>
        <w:rPr>
          <w:rFonts w:ascii="宋体"/>
          <w:color w:val="auto"/>
          <w:sz w:val="22"/>
          <w:highlight w:val="none"/>
        </w:rPr>
      </w:pPr>
      <w:r>
        <w:rPr>
          <w:rFonts w:hint="eastAsia" w:ascii="宋体"/>
          <w:color w:val="auto"/>
          <w:sz w:val="22"/>
          <w:highlight w:val="none"/>
        </w:rPr>
        <w:t>残疾人福利性单位、监狱企业参加投标视同小微企业。</w:t>
      </w:r>
    </w:p>
    <w:p w14:paraId="403A805B">
      <w:pPr>
        <w:tabs>
          <w:tab w:val="left" w:pos="2352"/>
        </w:tabs>
        <w:spacing w:line="440" w:lineRule="atLeast"/>
        <w:jc w:val="left"/>
        <w:rPr>
          <w:rFonts w:hint="eastAsia" w:ascii="宋体" w:hAnsi="宋体" w:cs="宋体"/>
          <w:b/>
          <w:bCs/>
          <w:color w:val="auto"/>
          <w:sz w:val="22"/>
          <w:highlight w:val="none"/>
          <w:u w:val="single"/>
        </w:rPr>
      </w:pPr>
      <w:r>
        <w:rPr>
          <w:rFonts w:hint="eastAsia" w:ascii="宋体"/>
          <w:color w:val="auto"/>
          <w:sz w:val="22"/>
          <w:highlight w:val="none"/>
        </w:rPr>
        <w:t>4、</w:t>
      </w:r>
      <w:r>
        <w:rPr>
          <w:rFonts w:hint="eastAsia" w:ascii="宋体"/>
          <w:b/>
          <w:bCs/>
          <w:color w:val="auto"/>
          <w:sz w:val="22"/>
          <w:highlight w:val="none"/>
        </w:rPr>
        <w:t xml:space="preserve">本项目采购标的所属行业为 </w:t>
      </w:r>
      <w:r>
        <w:rPr>
          <w:rFonts w:hint="eastAsia" w:ascii="宋体" w:hAnsi="宋体" w:cs="宋体"/>
          <w:b/>
          <w:bCs/>
          <w:color w:val="auto"/>
          <w:sz w:val="22"/>
          <w:highlight w:val="none"/>
          <w:u w:val="single"/>
        </w:rPr>
        <w:t>其他未列明行业。</w:t>
      </w:r>
    </w:p>
    <w:p w14:paraId="2BC47F2B">
      <w:pPr>
        <w:tabs>
          <w:tab w:val="left" w:pos="2352"/>
        </w:tabs>
        <w:spacing w:line="440" w:lineRule="atLeast"/>
        <w:jc w:val="left"/>
        <w:rPr>
          <w:rFonts w:hint="eastAsia" w:ascii="宋体" w:hAnsi="宋体" w:cs="宋体"/>
          <w:b/>
          <w:bCs/>
          <w:color w:val="auto"/>
          <w:sz w:val="22"/>
          <w:highlight w:val="none"/>
          <w:u w:val="single"/>
        </w:rPr>
      </w:pPr>
    </w:p>
    <w:p w14:paraId="25BB28A5">
      <w:pPr>
        <w:tabs>
          <w:tab w:val="left" w:pos="2352"/>
        </w:tabs>
        <w:snapToGrid w:val="0"/>
        <w:spacing w:line="360" w:lineRule="auto"/>
        <w:jc w:val="left"/>
        <w:rPr>
          <w:b/>
          <w:color w:val="auto"/>
          <w:sz w:val="28"/>
          <w:szCs w:val="28"/>
          <w:highlight w:val="none"/>
        </w:rPr>
      </w:pPr>
    </w:p>
    <w:p w14:paraId="4246C5CA">
      <w:pPr>
        <w:tabs>
          <w:tab w:val="left" w:pos="2352"/>
        </w:tabs>
        <w:snapToGrid w:val="0"/>
        <w:spacing w:line="360" w:lineRule="auto"/>
        <w:jc w:val="left"/>
        <w:rPr>
          <w:rFonts w:hint="eastAsia"/>
          <w:b/>
          <w:color w:val="auto"/>
          <w:sz w:val="28"/>
          <w:szCs w:val="28"/>
          <w:highlight w:val="none"/>
        </w:rPr>
      </w:pPr>
    </w:p>
    <w:p w14:paraId="306B18EF">
      <w:pPr>
        <w:tabs>
          <w:tab w:val="left" w:pos="2352"/>
        </w:tabs>
        <w:snapToGrid w:val="0"/>
        <w:spacing w:line="360" w:lineRule="auto"/>
        <w:jc w:val="left"/>
        <w:rPr>
          <w:rFonts w:hint="eastAsia"/>
          <w:b/>
          <w:color w:val="auto"/>
          <w:sz w:val="28"/>
          <w:szCs w:val="28"/>
          <w:highlight w:val="none"/>
        </w:rPr>
      </w:pPr>
    </w:p>
    <w:p w14:paraId="5FA10FAE">
      <w:pPr>
        <w:tabs>
          <w:tab w:val="left" w:pos="2352"/>
        </w:tabs>
        <w:snapToGrid w:val="0"/>
        <w:spacing w:line="360" w:lineRule="auto"/>
        <w:jc w:val="left"/>
        <w:rPr>
          <w:rFonts w:hint="eastAsia"/>
          <w:b/>
          <w:color w:val="auto"/>
          <w:sz w:val="28"/>
          <w:szCs w:val="28"/>
          <w:highlight w:val="none"/>
        </w:rPr>
      </w:pPr>
    </w:p>
    <w:p w14:paraId="3BE93611">
      <w:pPr>
        <w:pStyle w:val="32"/>
        <w:rPr>
          <w:rFonts w:hint="eastAsia"/>
          <w:color w:val="auto"/>
          <w:highlight w:val="none"/>
        </w:rPr>
      </w:pPr>
    </w:p>
    <w:p w14:paraId="4D627D37">
      <w:pPr>
        <w:tabs>
          <w:tab w:val="left" w:pos="2352"/>
        </w:tabs>
        <w:snapToGrid w:val="0"/>
        <w:spacing w:line="360" w:lineRule="auto"/>
        <w:jc w:val="left"/>
        <w:rPr>
          <w:rFonts w:hint="eastAsia"/>
          <w:b/>
          <w:color w:val="auto"/>
          <w:sz w:val="28"/>
          <w:szCs w:val="28"/>
          <w:highlight w:val="none"/>
        </w:rPr>
      </w:pPr>
    </w:p>
    <w:p w14:paraId="098DA7EE">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附件1</w:t>
      </w:r>
    </w:p>
    <w:p w14:paraId="4C6F8C51">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725E5B15">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本公司郑重声明，根据《政府采购促进中小企业发展管理办法》（财库﹝2020﹞46 号）的规定，本公司参加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泰顺县包垟乡人民政府</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泰顺县包垟乡环卫保洁服务</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A402054">
      <w:pPr>
        <w:numPr>
          <w:ilvl w:val="0"/>
          <w:numId w:val="7"/>
        </w:numPr>
        <w:tabs>
          <w:tab w:val="left" w:pos="1069"/>
          <w:tab w:val="left" w:pos="2352"/>
        </w:tabs>
        <w:spacing w:line="400" w:lineRule="exact"/>
        <w:ind w:left="0" w:firstLine="446"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4019C373">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3440B473">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3DCF1D5E">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19405D81">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日 期：</w:t>
      </w:r>
    </w:p>
    <w:p w14:paraId="391AD671">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注：</w:t>
      </w:r>
      <w:r>
        <w:rPr>
          <w:rFonts w:ascii="宋体" w:hAnsi="宋体" w:cs="宋体"/>
          <w:color w:val="auto"/>
          <w:sz w:val="22"/>
          <w:highlight w:val="none"/>
        </w:rPr>
        <w:t xml:space="preserve"> 从业人员、营业收入、资产总额填报上一年度数据，无上一年度数据的新成立企业可不填报。</w:t>
      </w:r>
    </w:p>
    <w:p w14:paraId="575CBB85">
      <w:pPr>
        <w:pStyle w:val="3"/>
        <w:tabs>
          <w:tab w:val="left" w:pos="2352"/>
        </w:tabs>
        <w:rPr>
          <w:color w:val="auto"/>
          <w:highlight w:val="none"/>
        </w:rPr>
      </w:pPr>
    </w:p>
    <w:p w14:paraId="595E6408">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附件2</w:t>
      </w:r>
    </w:p>
    <w:p w14:paraId="2459A07C">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3879B9C">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9D7157">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7C672CA2">
      <w:pPr>
        <w:tabs>
          <w:tab w:val="left" w:pos="2352"/>
        </w:tabs>
        <w:snapToGrid w:val="0"/>
        <w:spacing w:line="360" w:lineRule="auto"/>
        <w:ind w:firstLine="446" w:firstLineChars="200"/>
        <w:rPr>
          <w:color w:val="auto"/>
          <w:sz w:val="22"/>
          <w:highlight w:val="none"/>
        </w:rPr>
      </w:pPr>
    </w:p>
    <w:p w14:paraId="4EDCAFC1">
      <w:pPr>
        <w:tabs>
          <w:tab w:val="left" w:pos="2352"/>
        </w:tabs>
        <w:snapToGrid w:val="0"/>
        <w:spacing w:line="360" w:lineRule="auto"/>
        <w:ind w:firstLine="446" w:firstLineChars="200"/>
        <w:rPr>
          <w:color w:val="auto"/>
          <w:sz w:val="22"/>
          <w:highlight w:val="none"/>
        </w:rPr>
      </w:pPr>
    </w:p>
    <w:p w14:paraId="4BC825CA">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407DF726">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70B2CFEB">
      <w:pPr>
        <w:pStyle w:val="37"/>
        <w:tabs>
          <w:tab w:val="left" w:pos="2352"/>
        </w:tabs>
        <w:snapToGrid w:val="0"/>
        <w:spacing w:line="360" w:lineRule="auto"/>
        <w:ind w:left="360" w:firstLine="0" w:firstLineChars="0"/>
        <w:rPr>
          <w:rFonts w:cs="宋体"/>
          <w:color w:val="auto"/>
          <w:sz w:val="22"/>
          <w:highlight w:val="none"/>
        </w:rPr>
      </w:pPr>
    </w:p>
    <w:p w14:paraId="18B4481F">
      <w:pPr>
        <w:pStyle w:val="37"/>
        <w:tabs>
          <w:tab w:val="left" w:pos="2352"/>
        </w:tabs>
        <w:snapToGrid w:val="0"/>
        <w:spacing w:line="360" w:lineRule="auto"/>
        <w:ind w:left="360" w:firstLine="0" w:firstLineChars="0"/>
        <w:rPr>
          <w:rFonts w:cs="宋体"/>
          <w:color w:val="auto"/>
          <w:sz w:val="22"/>
          <w:highlight w:val="none"/>
        </w:rPr>
      </w:pPr>
    </w:p>
    <w:p w14:paraId="721079C3">
      <w:pPr>
        <w:pStyle w:val="37"/>
        <w:tabs>
          <w:tab w:val="left" w:pos="2352"/>
        </w:tabs>
        <w:snapToGrid w:val="0"/>
        <w:spacing w:line="360" w:lineRule="auto"/>
        <w:ind w:left="360" w:firstLine="0" w:firstLineChars="0"/>
        <w:rPr>
          <w:rFonts w:cs="宋体"/>
          <w:color w:val="auto"/>
          <w:sz w:val="22"/>
          <w:highlight w:val="none"/>
        </w:rPr>
      </w:pPr>
    </w:p>
    <w:p w14:paraId="200620E6">
      <w:pPr>
        <w:pStyle w:val="37"/>
        <w:tabs>
          <w:tab w:val="left" w:pos="2352"/>
        </w:tabs>
        <w:snapToGrid w:val="0"/>
        <w:spacing w:line="360" w:lineRule="auto"/>
        <w:ind w:left="360" w:firstLine="0" w:firstLineChars="0"/>
        <w:rPr>
          <w:rFonts w:cs="宋体"/>
          <w:color w:val="auto"/>
          <w:sz w:val="22"/>
          <w:highlight w:val="none"/>
        </w:rPr>
      </w:pPr>
    </w:p>
    <w:bookmarkEnd w:id="63"/>
    <w:p w14:paraId="69E46DA2">
      <w:pPr>
        <w:pStyle w:val="2"/>
        <w:tabs>
          <w:tab w:val="left" w:pos="1069"/>
          <w:tab w:val="left" w:pos="2352"/>
        </w:tabs>
        <w:spacing w:line="480" w:lineRule="exact"/>
        <w:rPr>
          <w:rFonts w:ascii="宋体" w:hAnsi="宋体" w:cs="宋体"/>
          <w:b/>
          <w:bCs/>
          <w:color w:val="auto"/>
          <w:sz w:val="26"/>
          <w:szCs w:val="26"/>
          <w:highlight w:val="none"/>
        </w:rPr>
      </w:pPr>
      <w:r>
        <w:rPr>
          <w:rFonts w:hint="eastAsia" w:ascii="宋体" w:hAnsi="宋体" w:cs="宋体"/>
          <w:b/>
          <w:bCs/>
          <w:color w:val="auto"/>
          <w:sz w:val="26"/>
          <w:szCs w:val="26"/>
          <w:highlight w:val="none"/>
        </w:rPr>
        <w:t>三、信贷政策</w:t>
      </w:r>
    </w:p>
    <w:p w14:paraId="25E7CBD5">
      <w:pPr>
        <w:tabs>
          <w:tab w:val="left" w:pos="1069"/>
          <w:tab w:val="left" w:pos="2352"/>
        </w:tabs>
        <w:snapToGrid w:val="0"/>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1、温州市财政局关于温州市政府采购支持中小企业信用融资的通知（温财采〔2020〕3号）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5055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3425A5C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温州市政府采购支持中小企业信用融资合作银行</w:t>
            </w:r>
          </w:p>
        </w:tc>
      </w:tr>
      <w:tr w14:paraId="5EB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Borders>
              <w:top w:val="single" w:color="auto" w:sz="4" w:space="0"/>
              <w:left w:val="single" w:color="auto" w:sz="4" w:space="0"/>
              <w:right w:val="single" w:color="auto" w:sz="4" w:space="0"/>
            </w:tcBorders>
          </w:tcPr>
          <w:p w14:paraId="5D412822">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银行名称</w:t>
            </w:r>
          </w:p>
        </w:tc>
        <w:tc>
          <w:tcPr>
            <w:tcW w:w="4201" w:type="dxa"/>
            <w:tcBorders>
              <w:top w:val="single" w:color="auto" w:sz="4" w:space="0"/>
              <w:left w:val="single" w:color="auto" w:sz="4" w:space="0"/>
              <w:right w:val="single" w:color="auto" w:sz="4" w:space="0"/>
            </w:tcBorders>
          </w:tcPr>
          <w:p w14:paraId="68D8C542">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产品特点（不超过120字）</w:t>
            </w:r>
          </w:p>
        </w:tc>
        <w:tc>
          <w:tcPr>
            <w:tcW w:w="1000" w:type="dxa"/>
            <w:tcBorders>
              <w:top w:val="single" w:color="auto" w:sz="4" w:space="0"/>
              <w:left w:val="single" w:color="auto" w:sz="4" w:space="0"/>
              <w:right w:val="single" w:color="auto" w:sz="4" w:space="0"/>
            </w:tcBorders>
          </w:tcPr>
          <w:p w14:paraId="13AE55D7">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经办人</w:t>
            </w:r>
          </w:p>
        </w:tc>
        <w:tc>
          <w:tcPr>
            <w:tcW w:w="1820" w:type="dxa"/>
            <w:tcBorders>
              <w:top w:val="single" w:color="auto" w:sz="4" w:space="0"/>
              <w:left w:val="single" w:color="auto" w:sz="4" w:space="0"/>
              <w:right w:val="single" w:color="auto" w:sz="4" w:space="0"/>
            </w:tcBorders>
          </w:tcPr>
          <w:p w14:paraId="41A1CAC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联系方式</w:t>
            </w:r>
          </w:p>
        </w:tc>
      </w:tr>
      <w:tr w14:paraId="3402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2E03499E">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4201" w:type="dxa"/>
            <w:tcBorders>
              <w:top w:val="single" w:color="auto" w:sz="4" w:space="0"/>
              <w:left w:val="single" w:color="auto" w:sz="4" w:space="0"/>
              <w:right w:val="single" w:color="auto" w:sz="4" w:space="0"/>
            </w:tcBorders>
          </w:tcPr>
          <w:p w14:paraId="0C1E338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Borders>
              <w:top w:val="single" w:color="auto" w:sz="4" w:space="0"/>
              <w:left w:val="single" w:color="auto" w:sz="4" w:space="0"/>
              <w:right w:val="single" w:color="auto" w:sz="4" w:space="0"/>
            </w:tcBorders>
          </w:tcPr>
          <w:p w14:paraId="52FC7D7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王经理</w:t>
            </w:r>
          </w:p>
        </w:tc>
        <w:tc>
          <w:tcPr>
            <w:tcW w:w="1820" w:type="dxa"/>
            <w:tcBorders>
              <w:top w:val="single" w:color="auto" w:sz="4" w:space="0"/>
              <w:left w:val="single" w:color="auto" w:sz="4" w:space="0"/>
              <w:right w:val="single" w:color="auto" w:sz="4" w:space="0"/>
            </w:tcBorders>
          </w:tcPr>
          <w:p w14:paraId="0997D5F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0577-88186626</w:t>
            </w:r>
          </w:p>
          <w:p w14:paraId="16289630">
            <w:pPr>
              <w:tabs>
                <w:tab w:val="left" w:pos="1069"/>
                <w:tab w:val="left" w:pos="2352"/>
              </w:tabs>
              <w:jc w:val="left"/>
              <w:rPr>
                <w:rFonts w:ascii="宋体" w:hAnsi="宋体" w:cs="宋体"/>
                <w:color w:val="auto"/>
                <w:sz w:val="22"/>
                <w:highlight w:val="none"/>
              </w:rPr>
            </w:pPr>
          </w:p>
        </w:tc>
      </w:tr>
      <w:tr w14:paraId="0E6C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Borders>
              <w:top w:val="single" w:color="auto" w:sz="4" w:space="0"/>
              <w:left w:val="single" w:color="auto" w:sz="4" w:space="0"/>
              <w:right w:val="single" w:color="auto" w:sz="4" w:space="0"/>
            </w:tcBorders>
          </w:tcPr>
          <w:p w14:paraId="5855D16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4201" w:type="dxa"/>
            <w:tcBorders>
              <w:top w:val="single" w:color="auto" w:sz="4" w:space="0"/>
              <w:left w:val="single" w:color="auto" w:sz="4" w:space="0"/>
              <w:right w:val="single" w:color="auto" w:sz="4" w:space="0"/>
            </w:tcBorders>
          </w:tcPr>
          <w:p w14:paraId="1BDBBB3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Borders>
              <w:top w:val="single" w:color="auto" w:sz="4" w:space="0"/>
              <w:left w:val="single" w:color="auto" w:sz="4" w:space="0"/>
              <w:right w:val="single" w:color="auto" w:sz="4" w:space="0"/>
            </w:tcBorders>
          </w:tcPr>
          <w:p w14:paraId="7A27D83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tc>
        <w:tc>
          <w:tcPr>
            <w:tcW w:w="1820" w:type="dxa"/>
            <w:tcBorders>
              <w:top w:val="single" w:color="auto" w:sz="4" w:space="0"/>
              <w:left w:val="single" w:color="auto" w:sz="4" w:space="0"/>
              <w:right w:val="single" w:color="auto" w:sz="4" w:space="0"/>
            </w:tcBorders>
          </w:tcPr>
          <w:p w14:paraId="5DD8C86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0577-88093286</w:t>
            </w:r>
          </w:p>
        </w:tc>
      </w:tr>
      <w:tr w14:paraId="35DD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53DA0560">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4201" w:type="dxa"/>
            <w:tcBorders>
              <w:top w:val="single" w:color="auto" w:sz="4" w:space="0"/>
              <w:left w:val="single" w:color="auto" w:sz="4" w:space="0"/>
              <w:right w:val="single" w:color="auto" w:sz="4" w:space="0"/>
            </w:tcBorders>
            <w:vAlign w:val="center"/>
          </w:tcPr>
          <w:p w14:paraId="2ADB2FC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tcBorders>
              <w:top w:val="single" w:color="auto" w:sz="4" w:space="0"/>
              <w:left w:val="single" w:color="auto" w:sz="4" w:space="0"/>
              <w:right w:val="single" w:color="auto" w:sz="4" w:space="0"/>
            </w:tcBorders>
            <w:vAlign w:val="center"/>
          </w:tcPr>
          <w:p w14:paraId="5569305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郑经理</w:t>
            </w:r>
          </w:p>
        </w:tc>
        <w:tc>
          <w:tcPr>
            <w:tcW w:w="1820" w:type="dxa"/>
            <w:tcBorders>
              <w:top w:val="single" w:color="auto" w:sz="4" w:space="0"/>
              <w:left w:val="single" w:color="auto" w:sz="4" w:space="0"/>
              <w:right w:val="single" w:color="auto" w:sz="4" w:space="0"/>
            </w:tcBorders>
            <w:vAlign w:val="center"/>
          </w:tcPr>
          <w:p w14:paraId="3022F12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0577-88193910</w:t>
            </w:r>
          </w:p>
          <w:p w14:paraId="30176AD7">
            <w:pPr>
              <w:tabs>
                <w:tab w:val="left" w:pos="1069"/>
                <w:tab w:val="left" w:pos="2352"/>
              </w:tabs>
              <w:jc w:val="left"/>
              <w:rPr>
                <w:rFonts w:ascii="宋体" w:hAnsi="宋体" w:cs="宋体"/>
                <w:color w:val="auto"/>
                <w:sz w:val="22"/>
                <w:highlight w:val="none"/>
              </w:rPr>
            </w:pPr>
          </w:p>
        </w:tc>
      </w:tr>
      <w:tr w14:paraId="7F8A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53486F0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4201" w:type="dxa"/>
            <w:tcBorders>
              <w:top w:val="single" w:color="auto" w:sz="4" w:space="0"/>
              <w:left w:val="single" w:color="auto" w:sz="4" w:space="0"/>
              <w:right w:val="single" w:color="auto" w:sz="4" w:space="0"/>
            </w:tcBorders>
          </w:tcPr>
          <w:p w14:paraId="682EB0A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Borders>
              <w:top w:val="single" w:color="auto" w:sz="4" w:space="0"/>
              <w:left w:val="single" w:color="auto" w:sz="4" w:space="0"/>
              <w:right w:val="single" w:color="auto" w:sz="4" w:space="0"/>
            </w:tcBorders>
          </w:tcPr>
          <w:p w14:paraId="1724302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项经理</w:t>
            </w:r>
          </w:p>
        </w:tc>
        <w:tc>
          <w:tcPr>
            <w:tcW w:w="1820" w:type="dxa"/>
            <w:tcBorders>
              <w:top w:val="single" w:color="auto" w:sz="4" w:space="0"/>
              <w:left w:val="single" w:color="auto" w:sz="4" w:space="0"/>
              <w:right w:val="single" w:color="auto" w:sz="4" w:space="0"/>
            </w:tcBorders>
          </w:tcPr>
          <w:p w14:paraId="102AEDFF">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18057779630</w:t>
            </w:r>
          </w:p>
        </w:tc>
      </w:tr>
      <w:tr w14:paraId="14BA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1F22E750">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4201" w:type="dxa"/>
            <w:tcBorders>
              <w:top w:val="single" w:color="auto" w:sz="4" w:space="0"/>
              <w:left w:val="single" w:color="auto" w:sz="4" w:space="0"/>
              <w:right w:val="single" w:color="auto" w:sz="4" w:space="0"/>
            </w:tcBorders>
          </w:tcPr>
          <w:p w14:paraId="18A4BD9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Borders>
              <w:top w:val="single" w:color="auto" w:sz="4" w:space="0"/>
              <w:left w:val="single" w:color="auto" w:sz="4" w:space="0"/>
              <w:right w:val="single" w:color="auto" w:sz="4" w:space="0"/>
            </w:tcBorders>
          </w:tcPr>
          <w:p w14:paraId="07AE57F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tcPr>
          <w:p w14:paraId="267337E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0577－88007377</w:t>
            </w:r>
          </w:p>
          <w:p w14:paraId="7EB721A9">
            <w:pPr>
              <w:tabs>
                <w:tab w:val="left" w:pos="1069"/>
                <w:tab w:val="left" w:pos="2352"/>
              </w:tabs>
              <w:jc w:val="left"/>
              <w:rPr>
                <w:rFonts w:ascii="宋体" w:hAnsi="宋体" w:cs="宋体"/>
                <w:color w:val="auto"/>
                <w:sz w:val="22"/>
                <w:highlight w:val="none"/>
              </w:rPr>
            </w:pPr>
          </w:p>
        </w:tc>
      </w:tr>
      <w:tr w14:paraId="60CB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2A01F46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4201" w:type="dxa"/>
            <w:tcBorders>
              <w:top w:val="single" w:color="auto" w:sz="4" w:space="0"/>
              <w:left w:val="single" w:color="auto" w:sz="4" w:space="0"/>
              <w:right w:val="single" w:color="auto" w:sz="4" w:space="0"/>
            </w:tcBorders>
          </w:tcPr>
          <w:p w14:paraId="4493046E">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门槛低：纯信用，平台注册入库并取得采购合同即可申请</w:t>
            </w:r>
          </w:p>
          <w:p w14:paraId="4F8539BB">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手续简：线上申请+线上签约，足不出户</w:t>
            </w:r>
          </w:p>
          <w:p w14:paraId="1D8B8DB5">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利率优：按优于一般中小企业贷款利率执行</w:t>
            </w:r>
          </w:p>
          <w:p w14:paraId="79DB7A1D">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额度高：最高为合同金额的80%</w:t>
            </w:r>
          </w:p>
        </w:tc>
        <w:tc>
          <w:tcPr>
            <w:tcW w:w="1000" w:type="dxa"/>
            <w:tcBorders>
              <w:top w:val="single" w:color="auto" w:sz="4" w:space="0"/>
              <w:left w:val="single" w:color="auto" w:sz="4" w:space="0"/>
              <w:right w:val="single" w:color="auto" w:sz="4" w:space="0"/>
            </w:tcBorders>
          </w:tcPr>
          <w:p w14:paraId="161CBBA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Borders>
              <w:top w:val="single" w:color="auto" w:sz="4" w:space="0"/>
              <w:left w:val="single" w:color="auto" w:sz="4" w:space="0"/>
              <w:right w:val="single" w:color="auto" w:sz="4" w:space="0"/>
            </w:tcBorders>
          </w:tcPr>
          <w:p w14:paraId="61DFC25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0577-88008933</w:t>
            </w:r>
          </w:p>
        </w:tc>
      </w:tr>
      <w:tr w14:paraId="282D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417BA9AC">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4201" w:type="dxa"/>
            <w:tcBorders>
              <w:top w:val="single" w:color="auto" w:sz="4" w:space="0"/>
              <w:left w:val="single" w:color="auto" w:sz="4" w:space="0"/>
              <w:right w:val="single" w:color="auto" w:sz="4" w:space="0"/>
            </w:tcBorders>
          </w:tcPr>
          <w:p w14:paraId="222EE12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Borders>
              <w:top w:val="single" w:color="auto" w:sz="4" w:space="0"/>
              <w:left w:val="single" w:color="auto" w:sz="4" w:space="0"/>
              <w:right w:val="single" w:color="auto" w:sz="4" w:space="0"/>
            </w:tcBorders>
          </w:tcPr>
          <w:p w14:paraId="10CEE24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tcPr>
          <w:p w14:paraId="73BA667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0577-88056876</w:t>
            </w:r>
          </w:p>
          <w:p w14:paraId="5CBC90AB">
            <w:pPr>
              <w:tabs>
                <w:tab w:val="left" w:pos="1069"/>
                <w:tab w:val="left" w:pos="2352"/>
              </w:tabs>
              <w:jc w:val="left"/>
              <w:rPr>
                <w:rFonts w:ascii="宋体" w:hAnsi="宋体" w:cs="宋体"/>
                <w:color w:val="auto"/>
                <w:sz w:val="22"/>
                <w:highlight w:val="none"/>
              </w:rPr>
            </w:pPr>
          </w:p>
        </w:tc>
      </w:tr>
      <w:tr w14:paraId="1816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5E566FA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4201" w:type="dxa"/>
            <w:tcBorders>
              <w:top w:val="single" w:color="auto" w:sz="4" w:space="0"/>
              <w:left w:val="single" w:color="auto" w:sz="4" w:space="0"/>
              <w:right w:val="single" w:color="auto" w:sz="4" w:space="0"/>
            </w:tcBorders>
            <w:vAlign w:val="center"/>
          </w:tcPr>
          <w:p w14:paraId="69CA38D4">
            <w:pPr>
              <w:pStyle w:val="38"/>
              <w:tabs>
                <w:tab w:val="left" w:pos="1069"/>
                <w:tab w:val="left" w:pos="2352"/>
              </w:tabs>
              <w:spacing w:line="240" w:lineRule="auto"/>
              <w:ind w:firstLine="0" w:firstLineChars="0"/>
              <w:jc w:val="both"/>
              <w:rPr>
                <w:rFonts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highlight w:val="none"/>
                <w:lang w:eastAsia="zh-CN"/>
              </w:rPr>
              <w:t>应收账款</w:t>
            </w:r>
            <w:r>
              <w:rPr>
                <w:rFonts w:hint="eastAsia" w:ascii="宋体" w:hAnsi="宋体" w:eastAsia="宋体" w:cs="宋体"/>
                <w:bCs/>
                <w:color w:val="auto"/>
                <w:kern w:val="0"/>
                <w:sz w:val="22"/>
                <w:highlight w:val="none"/>
              </w:rPr>
              <w:t>质押的，最高融资金额不超过1000万元，单笔提款金额不超过采购合同金额的70%。融资利率：在本单位一般性中小企业信用贷款利率基础上下浮10%。</w:t>
            </w:r>
          </w:p>
        </w:tc>
        <w:tc>
          <w:tcPr>
            <w:tcW w:w="1000" w:type="dxa"/>
            <w:tcBorders>
              <w:top w:val="single" w:color="auto" w:sz="4" w:space="0"/>
              <w:left w:val="single" w:color="auto" w:sz="4" w:space="0"/>
              <w:right w:val="single" w:color="auto" w:sz="4" w:space="0"/>
            </w:tcBorders>
            <w:vAlign w:val="center"/>
          </w:tcPr>
          <w:p w14:paraId="7DEF2FB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p w14:paraId="1FA676F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vAlign w:val="center"/>
          </w:tcPr>
          <w:p w14:paraId="21EA9BD8">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0577-88369368/13857713118</w:t>
            </w:r>
          </w:p>
          <w:p w14:paraId="61FAA205">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0577-56969696-526506</w:t>
            </w:r>
          </w:p>
        </w:tc>
      </w:tr>
      <w:tr w14:paraId="2F2D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54F48FEE">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4201" w:type="dxa"/>
            <w:tcBorders>
              <w:top w:val="single" w:color="auto" w:sz="4" w:space="0"/>
              <w:left w:val="single" w:color="auto" w:sz="4" w:space="0"/>
              <w:right w:val="single" w:color="auto" w:sz="4" w:space="0"/>
            </w:tcBorders>
          </w:tcPr>
          <w:p w14:paraId="261A65E7">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Borders>
              <w:top w:val="single" w:color="auto" w:sz="4" w:space="0"/>
              <w:left w:val="single" w:color="auto" w:sz="4" w:space="0"/>
              <w:right w:val="single" w:color="auto" w:sz="4" w:space="0"/>
            </w:tcBorders>
          </w:tcPr>
          <w:p w14:paraId="7FDAA8E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Borders>
              <w:top w:val="single" w:color="auto" w:sz="4" w:space="0"/>
              <w:left w:val="single" w:color="auto" w:sz="4" w:space="0"/>
              <w:right w:val="single" w:color="auto" w:sz="4" w:space="0"/>
            </w:tcBorders>
          </w:tcPr>
          <w:p w14:paraId="431434EF">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13736355866</w:t>
            </w:r>
          </w:p>
        </w:tc>
      </w:tr>
      <w:tr w14:paraId="36DB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5FA9679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4201" w:type="dxa"/>
            <w:tcBorders>
              <w:top w:val="single" w:color="auto" w:sz="4" w:space="0"/>
              <w:left w:val="single" w:color="auto" w:sz="4" w:space="0"/>
              <w:right w:val="single" w:color="auto" w:sz="4" w:space="0"/>
            </w:tcBorders>
          </w:tcPr>
          <w:p w14:paraId="66E52A2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392A8BC1">
            <w:pPr>
              <w:pStyle w:val="37"/>
              <w:tabs>
                <w:tab w:val="left" w:pos="1069"/>
                <w:tab w:val="left" w:pos="2352"/>
              </w:tabs>
              <w:ind w:left="5" w:firstLine="0" w:firstLineChars="0"/>
              <w:rPr>
                <w:rFonts w:ascii="宋体" w:hAnsi="宋体" w:cs="宋体"/>
                <w:color w:val="auto"/>
                <w:sz w:val="22"/>
                <w:highlight w:val="none"/>
              </w:rPr>
            </w:pPr>
            <w:r>
              <w:rPr>
                <w:rFonts w:hint="eastAsia" w:ascii="宋体" w:hAnsi="宋体" w:cs="宋体"/>
                <w:color w:val="auto"/>
                <w:sz w:val="22"/>
                <w:highlight w:val="none"/>
              </w:rPr>
              <w:t>最长期限可贷1年。信保贷：1、额度最高可达500万元</w:t>
            </w:r>
          </w:p>
          <w:p w14:paraId="3144E15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2、担保灵活，信用贷款3、贷款年利率至少可享受本单位一般性中小企业信用贷款利率基础上下浮10 %</w:t>
            </w:r>
          </w:p>
        </w:tc>
        <w:tc>
          <w:tcPr>
            <w:tcW w:w="1000" w:type="dxa"/>
            <w:tcBorders>
              <w:top w:val="single" w:color="auto" w:sz="4" w:space="0"/>
              <w:left w:val="single" w:color="auto" w:sz="4" w:space="0"/>
              <w:right w:val="single" w:color="auto" w:sz="4" w:space="0"/>
            </w:tcBorders>
          </w:tcPr>
          <w:p w14:paraId="7D14040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戴经理</w:t>
            </w:r>
          </w:p>
        </w:tc>
        <w:tc>
          <w:tcPr>
            <w:tcW w:w="1820" w:type="dxa"/>
            <w:tcBorders>
              <w:top w:val="single" w:color="auto" w:sz="4" w:space="0"/>
              <w:left w:val="single" w:color="auto" w:sz="4" w:space="0"/>
              <w:right w:val="single" w:color="auto" w:sz="4" w:space="0"/>
            </w:tcBorders>
          </w:tcPr>
          <w:p w14:paraId="3CB22B5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13605772302</w:t>
            </w:r>
          </w:p>
        </w:tc>
      </w:tr>
      <w:tr w14:paraId="62D3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Borders>
              <w:top w:val="single" w:color="auto" w:sz="4" w:space="0"/>
              <w:left w:val="single" w:color="auto" w:sz="4" w:space="0"/>
              <w:right w:val="single" w:color="auto" w:sz="4" w:space="0"/>
            </w:tcBorders>
          </w:tcPr>
          <w:p w14:paraId="28460FF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4201" w:type="dxa"/>
            <w:tcBorders>
              <w:top w:val="single" w:color="auto" w:sz="4" w:space="0"/>
              <w:left w:val="single" w:color="auto" w:sz="4" w:space="0"/>
              <w:right w:val="single" w:color="auto" w:sz="4" w:space="0"/>
            </w:tcBorders>
          </w:tcPr>
          <w:p w14:paraId="085DF908">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Borders>
              <w:top w:val="single" w:color="auto" w:sz="4" w:space="0"/>
              <w:left w:val="single" w:color="auto" w:sz="4" w:space="0"/>
              <w:right w:val="single" w:color="auto" w:sz="4" w:space="0"/>
            </w:tcBorders>
          </w:tcPr>
          <w:p w14:paraId="381EA26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缪经理</w:t>
            </w:r>
          </w:p>
        </w:tc>
        <w:tc>
          <w:tcPr>
            <w:tcW w:w="1820" w:type="dxa"/>
            <w:tcBorders>
              <w:top w:val="single" w:color="auto" w:sz="4" w:space="0"/>
              <w:left w:val="single" w:color="auto" w:sz="4" w:space="0"/>
              <w:right w:val="single" w:color="auto" w:sz="4" w:space="0"/>
            </w:tcBorders>
          </w:tcPr>
          <w:p w14:paraId="651361F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0577-88248454</w:t>
            </w:r>
          </w:p>
        </w:tc>
      </w:tr>
      <w:tr w14:paraId="6256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Borders>
              <w:top w:val="single" w:color="auto" w:sz="4" w:space="0"/>
              <w:left w:val="single" w:color="auto" w:sz="4" w:space="0"/>
              <w:right w:val="single" w:color="auto" w:sz="4" w:space="0"/>
            </w:tcBorders>
          </w:tcPr>
          <w:p w14:paraId="6B559BF1">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4201" w:type="dxa"/>
            <w:tcBorders>
              <w:top w:val="single" w:color="auto" w:sz="4" w:space="0"/>
              <w:left w:val="single" w:color="auto" w:sz="4" w:space="0"/>
              <w:right w:val="single" w:color="auto" w:sz="4" w:space="0"/>
            </w:tcBorders>
          </w:tcPr>
          <w:p w14:paraId="3F0C99EC">
            <w:pPr>
              <w:tabs>
                <w:tab w:val="left" w:pos="1069"/>
                <w:tab w:val="left" w:pos="2352"/>
              </w:tabs>
              <w:jc w:val="left"/>
              <w:rPr>
                <w:rFonts w:ascii="宋体" w:hAnsi="宋体" w:cs="宋体"/>
                <w:bCs/>
                <w:color w:val="auto"/>
                <w:sz w:val="22"/>
                <w:highlight w:val="none"/>
              </w:rPr>
            </w:pPr>
            <w:r>
              <w:rPr>
                <w:rFonts w:hint="eastAsia" w:ascii="宋体" w:hAns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1C80D102">
            <w:pPr>
              <w:shd w:val="clear" w:color="auto" w:fill="FFFFFF"/>
              <w:tabs>
                <w:tab w:val="left" w:pos="1069"/>
                <w:tab w:val="left" w:pos="2352"/>
              </w:tabs>
              <w:jc w:val="left"/>
              <w:rPr>
                <w:rFonts w:ascii="宋体" w:hAnsi="宋体" w:cs="宋体"/>
                <w:color w:val="auto"/>
                <w:sz w:val="22"/>
                <w:highlight w:val="none"/>
              </w:rPr>
            </w:pPr>
            <w:r>
              <w:rPr>
                <w:rFonts w:hint="eastAsia" w:ascii="宋体" w:hAnsi="宋体" w:cs="宋体"/>
                <w:bCs/>
                <w:color w:val="auto"/>
                <w:sz w:val="22"/>
                <w:highlight w:val="none"/>
              </w:rPr>
              <w:t>所需材料：企业基础证件、相关中标文件（中标通知书 、采购合同等）、其他必要文件</w:t>
            </w:r>
          </w:p>
        </w:tc>
        <w:tc>
          <w:tcPr>
            <w:tcW w:w="1000" w:type="dxa"/>
            <w:tcBorders>
              <w:top w:val="single" w:color="auto" w:sz="4" w:space="0"/>
              <w:left w:val="single" w:color="auto" w:sz="4" w:space="0"/>
              <w:right w:val="single" w:color="auto" w:sz="4" w:space="0"/>
            </w:tcBorders>
          </w:tcPr>
          <w:p w14:paraId="302536E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Borders>
              <w:top w:val="single" w:color="auto" w:sz="4" w:space="0"/>
              <w:left w:val="single" w:color="auto" w:sz="4" w:space="0"/>
              <w:right w:val="single" w:color="auto" w:sz="4" w:space="0"/>
            </w:tcBorders>
          </w:tcPr>
          <w:p w14:paraId="7CA3EA6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0577-55570829</w:t>
            </w:r>
          </w:p>
          <w:p w14:paraId="0A5BDBBF">
            <w:pPr>
              <w:tabs>
                <w:tab w:val="left" w:pos="1069"/>
                <w:tab w:val="left" w:pos="2352"/>
              </w:tabs>
              <w:jc w:val="left"/>
              <w:rPr>
                <w:rFonts w:ascii="宋体" w:hAnsi="宋体" w:cs="宋体"/>
                <w:color w:val="auto"/>
                <w:sz w:val="22"/>
                <w:highlight w:val="none"/>
              </w:rPr>
            </w:pPr>
          </w:p>
        </w:tc>
      </w:tr>
    </w:tbl>
    <w:p w14:paraId="5F2C5FD4">
      <w:pPr>
        <w:tabs>
          <w:tab w:val="left" w:pos="1069"/>
          <w:tab w:val="left" w:pos="2352"/>
        </w:tabs>
        <w:snapToGrid w:val="0"/>
        <w:spacing w:line="460" w:lineRule="atLeast"/>
        <w:ind w:firstLine="446" w:firstLineChars="200"/>
        <w:jc w:val="left"/>
        <w:rPr>
          <w:rFonts w:ascii="宋体" w:hAnsi="宋体" w:cs="宋体"/>
          <w:color w:val="auto"/>
          <w:sz w:val="22"/>
          <w:highlight w:val="none"/>
        </w:rPr>
      </w:pPr>
    </w:p>
    <w:p w14:paraId="2FFD2C91">
      <w:pPr>
        <w:tabs>
          <w:tab w:val="left" w:pos="1069"/>
          <w:tab w:val="left" w:pos="2352"/>
        </w:tabs>
        <w:jc w:val="center"/>
        <w:rPr>
          <w:rFonts w:ascii="宋体" w:hAnsi="宋体" w:cs="宋体"/>
          <w:color w:val="auto"/>
          <w:sz w:val="22"/>
          <w:highlight w:val="none"/>
        </w:rPr>
      </w:pPr>
      <w:r>
        <w:rPr>
          <w:rFonts w:hint="eastAsia" w:ascii="宋体" w:hAnsi="宋体" w:cs="宋体"/>
          <w:b/>
          <w:bCs/>
          <w:color w:val="auto"/>
          <w:sz w:val="28"/>
          <w:szCs w:val="28"/>
          <w:highlight w:val="none"/>
        </w:rPr>
        <w:t>温州市政府采购信用融资意向银行选择表</w:t>
      </w:r>
    </w:p>
    <w:p w14:paraId="2F75184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（温州市供应商填写）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06E8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668" w:type="dxa"/>
          </w:tcPr>
          <w:p w14:paraId="379AA222">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企业名称</w:t>
            </w:r>
          </w:p>
        </w:tc>
        <w:tc>
          <w:tcPr>
            <w:tcW w:w="8221" w:type="dxa"/>
            <w:gridSpan w:val="5"/>
          </w:tcPr>
          <w:p w14:paraId="3B815D92">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31C2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443EA4B9">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23388087">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2EA9D488">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36C5DCBB">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70B1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7132A7F9">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59DF572B">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33CDAEEC">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19710C0D">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548D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35C80DD1">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6C127028">
            <w:pPr>
              <w:pStyle w:val="38"/>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选择作为意向融资银行（可多选）</w:t>
            </w:r>
          </w:p>
        </w:tc>
      </w:tr>
      <w:tr w14:paraId="730F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43A5382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7551AC87">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A0D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D1A1FC8">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062A107A">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291E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988C4D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18342827">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8DF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4C8F925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75778EED">
            <w:pPr>
              <w:tabs>
                <w:tab w:val="left" w:pos="1069"/>
                <w:tab w:val="left" w:pos="2352"/>
              </w:tabs>
              <w:rPr>
                <w:rFonts w:ascii="宋体" w:hAnsi="宋体" w:cs="宋体"/>
                <w:color w:val="auto"/>
                <w:sz w:val="22"/>
                <w:highlight w:val="none"/>
              </w:rPr>
            </w:pPr>
          </w:p>
        </w:tc>
      </w:tr>
      <w:tr w14:paraId="2E02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D70669E">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599DB04">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0C6E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0CA316C">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258D0B98">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16C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3046043">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5991EC7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36E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F4472EF">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56F1813D">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80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EB30DAF">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3FF6EAD9">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20C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E6BECBD">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19E246DA">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CB3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F907116">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615A0E5C">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280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0AC09A0A">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7032EF02">
            <w:pPr>
              <w:pStyle w:val="38"/>
              <w:tabs>
                <w:tab w:val="left" w:pos="1069"/>
                <w:tab w:val="left" w:pos="2352"/>
              </w:tabs>
              <w:spacing w:line="360" w:lineRule="auto"/>
              <w:ind w:firstLine="0" w:firstLineChars="0"/>
              <w:rPr>
                <w:rFonts w:ascii="宋体" w:hAnsi="宋体" w:eastAsia="宋体" w:cs="宋体"/>
                <w:color w:val="auto"/>
                <w:kern w:val="0"/>
                <w:sz w:val="22"/>
                <w:highlight w:val="none"/>
              </w:rPr>
            </w:pPr>
          </w:p>
        </w:tc>
      </w:tr>
    </w:tbl>
    <w:p w14:paraId="014819A6">
      <w:pPr>
        <w:tabs>
          <w:tab w:val="left" w:pos="1069"/>
          <w:tab w:val="left" w:pos="2352"/>
        </w:tabs>
        <w:rPr>
          <w:rFonts w:ascii="宋体" w:hAnsi="宋体" w:cs="宋体"/>
          <w:color w:val="auto"/>
          <w:sz w:val="22"/>
          <w:highlight w:val="none"/>
        </w:rPr>
      </w:pPr>
    </w:p>
    <w:p w14:paraId="5BE520E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注：1、本表填写对象为注册地在温州市域内的供应商。</w:t>
      </w:r>
    </w:p>
    <w:p w14:paraId="67593EE7">
      <w:pPr>
        <w:tabs>
          <w:tab w:val="left" w:pos="1069"/>
          <w:tab w:val="left" w:pos="2352"/>
        </w:tabs>
        <w:spacing w:line="588" w:lineRule="exact"/>
        <w:ind w:firstLine="446" w:firstLineChars="200"/>
        <w:rPr>
          <w:rFonts w:ascii="宋体" w:hAnsi="宋体" w:cs="宋体"/>
          <w:b/>
          <w:color w:val="auto"/>
          <w:sz w:val="22"/>
          <w:highlight w:val="none"/>
        </w:rPr>
      </w:pPr>
      <w:r>
        <w:rPr>
          <w:rFonts w:hint="eastAsia" w:ascii="宋体" w:hAnsi="宋体" w:cs="宋体"/>
          <w:color w:val="auto"/>
          <w:sz w:val="22"/>
          <w:highlight w:val="none"/>
          <w:lang w:eastAsia="zh-CN"/>
        </w:rPr>
        <w:t>2.</w:t>
      </w:r>
      <w:r>
        <w:rPr>
          <w:rFonts w:hint="eastAsia" w:ascii="宋体" w:hAnsi="宋体" w:cs="宋体"/>
          <w:color w:val="auto"/>
          <w:sz w:val="22"/>
          <w:highlight w:val="none"/>
        </w:rPr>
        <w:t>财政部门根据企业自行选择，将本表及企业相关信息推送至相对应的融资意向银行经办人。</w:t>
      </w:r>
    </w:p>
    <w:p w14:paraId="72DFCA1D">
      <w:pPr>
        <w:pStyle w:val="3"/>
        <w:tabs>
          <w:tab w:val="left" w:pos="1069"/>
          <w:tab w:val="left" w:pos="2352"/>
        </w:tabs>
        <w:rPr>
          <w:rFonts w:ascii="宋体" w:hAnsi="宋体" w:cs="宋体"/>
          <w:b/>
          <w:color w:val="auto"/>
          <w:sz w:val="32"/>
          <w:szCs w:val="32"/>
          <w:highlight w:val="none"/>
        </w:rPr>
      </w:pPr>
    </w:p>
    <w:p w14:paraId="40D507EA">
      <w:pPr>
        <w:tabs>
          <w:tab w:val="left" w:pos="1069"/>
          <w:tab w:val="left" w:pos="2352"/>
        </w:tabs>
        <w:snapToGrid w:val="0"/>
        <w:spacing w:line="380" w:lineRule="exact"/>
        <w:jc w:val="center"/>
        <w:rPr>
          <w:rFonts w:ascii="宋体" w:hAnsi="宋体" w:cs="宋体"/>
          <w:b/>
          <w:color w:val="auto"/>
          <w:sz w:val="32"/>
          <w:szCs w:val="32"/>
          <w:highlight w:val="none"/>
        </w:rPr>
      </w:pPr>
    </w:p>
    <w:p w14:paraId="317939B8">
      <w:pPr>
        <w:tabs>
          <w:tab w:val="left" w:pos="1069"/>
          <w:tab w:val="left" w:pos="2352"/>
        </w:tabs>
        <w:snapToGrid w:val="0"/>
        <w:spacing w:line="380" w:lineRule="exact"/>
        <w:jc w:val="center"/>
        <w:rPr>
          <w:rFonts w:ascii="宋体" w:hAnsi="宋体" w:cs="宋体"/>
          <w:b/>
          <w:color w:val="auto"/>
          <w:sz w:val="32"/>
          <w:szCs w:val="32"/>
          <w:highlight w:val="none"/>
        </w:rPr>
      </w:pPr>
    </w:p>
    <w:p w14:paraId="1612448C">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63C9A136">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039E5CF6">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0BC99C07">
      <w:pPr>
        <w:tabs>
          <w:tab w:val="left" w:pos="1069"/>
          <w:tab w:val="left" w:pos="2352"/>
        </w:tabs>
        <w:snapToGrid w:val="0"/>
        <w:spacing w:line="380" w:lineRule="exact"/>
        <w:jc w:val="center"/>
        <w:rPr>
          <w:rFonts w:ascii="宋体" w:hAnsi="宋体" w:cs="宋体"/>
          <w:b/>
          <w:bCs/>
          <w:color w:val="auto"/>
          <w:sz w:val="28"/>
          <w:szCs w:val="28"/>
          <w:highlight w:val="none"/>
        </w:rPr>
      </w:pPr>
      <w:r>
        <w:rPr>
          <w:rFonts w:hint="eastAsia" w:ascii="宋体" w:hAnsi="宋体" w:cs="宋体"/>
          <w:b/>
          <w:color w:val="auto"/>
          <w:sz w:val="32"/>
          <w:szCs w:val="32"/>
          <w:highlight w:val="none"/>
        </w:rPr>
        <w:t>第五部分、合同格式</w:t>
      </w:r>
      <w:bookmarkEnd w:id="61"/>
      <w:bookmarkStart w:id="64" w:name="_Toc11700_WPSOffice_Level1"/>
    </w:p>
    <w:p w14:paraId="0B5F04D4">
      <w:pPr>
        <w:tabs>
          <w:tab w:val="left" w:pos="1069"/>
          <w:tab w:val="left" w:pos="2352"/>
        </w:tabs>
        <w:spacing w:line="460" w:lineRule="exact"/>
        <w:rPr>
          <w:rFonts w:ascii="宋体"/>
          <w:color w:val="auto"/>
          <w:sz w:val="22"/>
          <w:highlight w:val="none"/>
        </w:rPr>
      </w:pPr>
      <w:r>
        <w:rPr>
          <w:rFonts w:hint="eastAsia" w:ascii="宋体"/>
          <w:color w:val="auto"/>
          <w:sz w:val="22"/>
          <w:highlight w:val="none"/>
        </w:rPr>
        <w:t>甲方（采购人）：</w:t>
      </w:r>
      <w:r>
        <w:rPr>
          <w:rFonts w:hint="eastAsia" w:ascii="宋体"/>
          <w:color w:val="auto"/>
          <w:sz w:val="22"/>
          <w:highlight w:val="none"/>
          <w:u w:val="single"/>
        </w:rPr>
        <w:t xml:space="preserve">           </w:t>
      </w:r>
      <w:r>
        <w:rPr>
          <w:rFonts w:ascii="宋体"/>
          <w:color w:val="auto"/>
          <w:sz w:val="22"/>
          <w:highlight w:val="none"/>
        </w:rPr>
        <w:t xml:space="preserve"> </w:t>
      </w:r>
    </w:p>
    <w:p w14:paraId="7E3620A3">
      <w:pPr>
        <w:tabs>
          <w:tab w:val="left" w:pos="1069"/>
          <w:tab w:val="left" w:pos="2352"/>
        </w:tabs>
        <w:spacing w:line="460" w:lineRule="exact"/>
        <w:rPr>
          <w:rFonts w:ascii="宋体"/>
          <w:color w:val="auto"/>
          <w:sz w:val="22"/>
          <w:highlight w:val="none"/>
        </w:rPr>
      </w:pPr>
      <w:r>
        <w:rPr>
          <w:rFonts w:hint="eastAsia" w:ascii="宋体"/>
          <w:color w:val="auto"/>
          <w:sz w:val="22"/>
          <w:highlight w:val="none"/>
        </w:rPr>
        <w:t>乙方（中标单位）：</w:t>
      </w:r>
      <w:r>
        <w:rPr>
          <w:rFonts w:ascii="宋体"/>
          <w:color w:val="auto"/>
          <w:sz w:val="22"/>
          <w:highlight w:val="none"/>
        </w:rPr>
        <w:t xml:space="preserve"> </w:t>
      </w:r>
      <w:r>
        <w:rPr>
          <w:rFonts w:hint="eastAsia" w:ascii="宋体"/>
          <w:color w:val="auto"/>
          <w:sz w:val="22"/>
          <w:highlight w:val="none"/>
          <w:u w:val="single"/>
        </w:rPr>
        <w:t xml:space="preserve">           </w:t>
      </w:r>
      <w:r>
        <w:rPr>
          <w:rFonts w:ascii="宋体"/>
          <w:color w:val="auto"/>
          <w:sz w:val="22"/>
          <w:highlight w:val="none"/>
        </w:rPr>
        <w:t xml:space="preserve"> </w:t>
      </w:r>
    </w:p>
    <w:p w14:paraId="18F39956">
      <w:pPr>
        <w:keepNext w:val="0"/>
        <w:keepLines w:val="0"/>
        <w:pageBreakBefore w:val="0"/>
        <w:widowControl w:val="0"/>
        <w:tabs>
          <w:tab w:val="left" w:pos="1069"/>
          <w:tab w:val="left" w:pos="2352"/>
        </w:tabs>
        <w:kinsoku/>
        <w:wordWrap/>
        <w:overflowPunct/>
        <w:topLinePunct w:val="0"/>
        <w:bidi w:val="0"/>
        <w:snapToGrid w:val="0"/>
        <w:spacing w:line="42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甲、乙双方根据</w:t>
      </w:r>
      <w:r>
        <w:rPr>
          <w:rFonts w:hint="eastAsia" w:ascii="宋体" w:hAnsi="宋体" w:cs="宋体"/>
          <w:bCs/>
          <w:color w:val="auto"/>
          <w:sz w:val="22"/>
          <w:highlight w:val="none"/>
          <w:u w:val="single"/>
          <w:lang w:eastAsia="zh-CN"/>
        </w:rPr>
        <w:t>泰顺县包垟乡环卫保洁服务</w:t>
      </w:r>
      <w:r>
        <w:rPr>
          <w:rFonts w:hint="eastAsia" w:ascii="宋体" w:hAnsi="宋体" w:cs="宋体"/>
          <w:bCs/>
          <w:color w:val="auto"/>
          <w:sz w:val="22"/>
          <w:highlight w:val="none"/>
          <w:u w:val="single"/>
        </w:rPr>
        <w:t>（项目编号：</w:t>
      </w:r>
      <w:r>
        <w:rPr>
          <w:rFonts w:hint="eastAsia" w:ascii="宋体" w:hAnsi="宋体" w:cs="宋体"/>
          <w:bCs/>
          <w:color w:val="auto"/>
          <w:sz w:val="22"/>
          <w:highlight w:val="none"/>
          <w:u w:val="single"/>
          <w:lang w:eastAsia="zh-CN"/>
        </w:rPr>
        <w:t>330329265190010000001-TSCG202606003</w:t>
      </w:r>
      <w:r>
        <w:rPr>
          <w:rFonts w:hint="eastAsia" w:ascii="宋体" w:hAnsi="宋体" w:cs="宋体"/>
          <w:bCs/>
          <w:color w:val="auto"/>
          <w:sz w:val="22"/>
          <w:highlight w:val="none"/>
          <w:u w:val="single"/>
        </w:rPr>
        <w:t>）公开</w:t>
      </w:r>
      <w:r>
        <w:rPr>
          <w:rFonts w:hint="eastAsia" w:ascii="宋体" w:hAnsi="宋体" w:cs="宋体"/>
          <w:bCs/>
          <w:color w:val="auto"/>
          <w:sz w:val="22"/>
          <w:highlight w:val="none"/>
        </w:rPr>
        <w:t>招标采购结果，签订此合同。</w:t>
      </w:r>
    </w:p>
    <w:p w14:paraId="6B7D7647">
      <w:pPr>
        <w:keepNext w:val="0"/>
        <w:keepLines w:val="0"/>
        <w:pageBreakBefore w:val="0"/>
        <w:widowControl w:val="0"/>
        <w:tabs>
          <w:tab w:val="left" w:pos="1069"/>
          <w:tab w:val="left" w:pos="2352"/>
        </w:tabs>
        <w:kinsoku/>
        <w:wordWrap/>
        <w:overflowPunct/>
        <w:topLinePunct w:val="0"/>
        <w:bidi w:val="0"/>
        <w:snapToGrid w:val="0"/>
        <w:spacing w:line="420" w:lineRule="exact"/>
        <w:ind w:firstLine="446" w:firstLineChars="200"/>
        <w:rPr>
          <w:rFonts w:hint="eastAsia" w:ascii="宋体" w:hAnsi="宋体" w:cs="宋体"/>
          <w:b/>
          <w:color w:val="auto"/>
          <w:sz w:val="22"/>
          <w:highlight w:val="none"/>
        </w:rPr>
      </w:pPr>
      <w:r>
        <w:rPr>
          <w:rFonts w:hint="eastAsia" w:ascii="宋体" w:hAnsi="宋体" w:cs="宋体"/>
          <w:b/>
          <w:color w:val="auto"/>
          <w:sz w:val="22"/>
          <w:highlight w:val="none"/>
          <w:lang w:val="en-US" w:eastAsia="zh-CN"/>
        </w:rPr>
        <w:t xml:space="preserve">第一条  </w:t>
      </w:r>
      <w:r>
        <w:rPr>
          <w:rFonts w:hint="eastAsia" w:ascii="宋体" w:hAnsi="宋体" w:cs="宋体"/>
          <w:b/>
          <w:color w:val="auto"/>
          <w:sz w:val="22"/>
          <w:highlight w:val="none"/>
        </w:rPr>
        <w:t>合同内容</w:t>
      </w:r>
    </w:p>
    <w:p w14:paraId="5810EFAD">
      <w:pPr>
        <w:spacing w:line="400" w:lineRule="exact"/>
        <w:ind w:firstLine="446" w:firstLineChars="200"/>
        <w:rPr>
          <w:rFonts w:hint="eastAsia" w:ascii="宋体" w:cs="宋体"/>
          <w:color w:val="auto"/>
          <w:sz w:val="22"/>
          <w:highlight w:val="none"/>
          <w:lang w:val="en-US" w:eastAsia="zh-CN"/>
        </w:rPr>
      </w:pPr>
      <w:r>
        <w:rPr>
          <w:rFonts w:hint="eastAsia" w:ascii="宋体" w:cs="宋体"/>
          <w:color w:val="auto"/>
          <w:sz w:val="22"/>
          <w:highlight w:val="none"/>
          <w:lang w:val="en-US" w:eastAsia="zh-CN"/>
        </w:rPr>
        <w:t xml:space="preserve"> 1.保洁区域及内容含建城区新塘垟村，包垟店村，包垟底村及所属小区环卫保洁及垃圾清运。</w:t>
      </w:r>
    </w:p>
    <w:p w14:paraId="67544BE7">
      <w:pPr>
        <w:spacing w:line="400" w:lineRule="exact"/>
        <w:rPr>
          <w:rFonts w:hint="eastAsia" w:ascii="宋体" w:cs="宋体"/>
          <w:color w:val="auto"/>
          <w:sz w:val="22"/>
          <w:highlight w:val="none"/>
        </w:rPr>
      </w:pPr>
      <w:r>
        <w:rPr>
          <w:rFonts w:hint="eastAsia" w:ascii="宋体" w:cs="宋体"/>
          <w:color w:val="auto"/>
          <w:sz w:val="22"/>
          <w:highlight w:val="none"/>
          <w:lang w:val="en-US" w:eastAsia="zh-CN"/>
        </w:rPr>
        <w:t>外围岩上村，林岙村，横溪村，卓南坑村，云湖谷村含各外围村下辖自然村环卫保洁以及垃圾清运。包垟乡马迹码头，少年垟码头，双板桥码头，银珠坑码头4个码头定期垃圾清运及保洁。建成区河道一条，公共卫生间3座。外围村公厕11座保洁及维护。（</w:t>
      </w:r>
      <w:r>
        <w:rPr>
          <w:rFonts w:hint="eastAsia" w:ascii="宋体" w:cs="宋体"/>
          <w:color w:val="auto"/>
          <w:sz w:val="22"/>
          <w:highlight w:val="none"/>
        </w:rPr>
        <w:t>不包含垃圾中转站垃圾进城</w:t>
      </w:r>
      <w:r>
        <w:rPr>
          <w:rFonts w:hint="eastAsia" w:ascii="宋体" w:cs="宋体"/>
          <w:color w:val="auto"/>
          <w:sz w:val="22"/>
          <w:highlight w:val="none"/>
          <w:lang w:val="en-US" w:eastAsia="zh-CN"/>
        </w:rPr>
        <w:t>）</w:t>
      </w:r>
    </w:p>
    <w:p w14:paraId="0B4E0DAC">
      <w:pPr>
        <w:spacing w:line="400" w:lineRule="exact"/>
        <w:ind w:firstLine="446" w:firstLineChars="200"/>
        <w:rPr>
          <w:rFonts w:hint="eastAsia" w:ascii="宋体" w:cs="宋体"/>
          <w:color w:val="auto"/>
          <w:sz w:val="22"/>
          <w:highlight w:val="none"/>
          <w:lang w:eastAsia="zh-CN"/>
        </w:rPr>
      </w:pPr>
      <w:r>
        <w:rPr>
          <w:rFonts w:hint="eastAsia" w:ascii="宋体" w:cs="宋体"/>
          <w:color w:val="auto"/>
          <w:sz w:val="22"/>
          <w:highlight w:val="none"/>
        </w:rPr>
        <w:t>保洁范围及频次见《</w:t>
      </w:r>
      <w:r>
        <w:rPr>
          <w:rFonts w:hint="eastAsia" w:ascii="宋体" w:cs="宋体"/>
          <w:color w:val="auto"/>
          <w:sz w:val="22"/>
          <w:highlight w:val="none"/>
          <w:lang w:eastAsia="zh-CN"/>
        </w:rPr>
        <w:t>泰顺县包垟乡生活垃圾保洁工作量一览表(202</w:t>
      </w:r>
      <w:r>
        <w:rPr>
          <w:rFonts w:hint="eastAsia" w:ascii="宋体" w:cs="宋体"/>
          <w:color w:val="auto"/>
          <w:sz w:val="22"/>
          <w:highlight w:val="none"/>
          <w:lang w:val="en-US" w:eastAsia="zh-CN"/>
        </w:rPr>
        <w:t>5</w:t>
      </w:r>
      <w:r>
        <w:rPr>
          <w:rFonts w:hint="eastAsia" w:ascii="宋体" w:cs="宋体"/>
          <w:color w:val="auto"/>
          <w:sz w:val="22"/>
          <w:highlight w:val="none"/>
          <w:lang w:eastAsia="zh-CN"/>
        </w:rPr>
        <w:t>年参考)</w:t>
      </w:r>
      <w:r>
        <w:rPr>
          <w:rFonts w:hint="eastAsia" w:ascii="宋体" w:cs="宋体"/>
          <w:color w:val="auto"/>
          <w:sz w:val="22"/>
          <w:highlight w:val="none"/>
        </w:rPr>
        <w:t>》。</w:t>
      </w:r>
    </w:p>
    <w:p w14:paraId="2FA0D6BE">
      <w:pPr>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1）气温3-30℃，路面冲洗每周不少于2次，路面洒水每天不少于2次；气温30℃以上时，路面洒水每天不少于3次；气温低于3℃停止冲洗和洒水；作业时间为晚上或清晨，冲洗后由采购人必要时进行验收（路面见本色），并无条件服从采购人整改要求；采购人要求冲洗建成区内市场等其他区域时中标方应无条件服从并提供免费服务。</w:t>
      </w:r>
    </w:p>
    <w:p w14:paraId="6C9D7552">
      <w:pPr>
        <w:spacing w:line="400" w:lineRule="exact"/>
        <w:ind w:firstLine="446" w:firstLineChars="200"/>
        <w:rPr>
          <w:rFonts w:hint="eastAsia" w:ascii="宋体" w:cs="宋体"/>
          <w:color w:val="auto"/>
          <w:sz w:val="22"/>
          <w:highlight w:val="none"/>
        </w:rPr>
      </w:pPr>
      <w:r>
        <w:rPr>
          <w:rFonts w:hint="eastAsia" w:ascii="宋体" w:cs="宋体"/>
          <w:color w:val="auto"/>
          <w:sz w:val="22"/>
          <w:highlight w:val="none"/>
        </w:rPr>
        <w:t>（2）交通早晚高峰期间禁止路面冲洗、洒水作业。</w:t>
      </w:r>
    </w:p>
    <w:p w14:paraId="512E64DF">
      <w:pPr>
        <w:spacing w:line="400" w:lineRule="exact"/>
        <w:ind w:firstLine="446" w:firstLineChars="200"/>
        <w:rPr>
          <w:rFonts w:ascii="宋体" w:cs="宋体"/>
          <w:color w:val="auto"/>
          <w:sz w:val="22"/>
          <w:highlight w:val="none"/>
        </w:rPr>
      </w:pPr>
      <w:r>
        <w:rPr>
          <w:rFonts w:hint="eastAsia" w:ascii="宋体" w:cs="宋体"/>
          <w:color w:val="auto"/>
          <w:sz w:val="22"/>
          <w:highlight w:val="none"/>
        </w:rPr>
        <w:t>（3）出车前要进行检查后方可上路，禁止带故障运行。作业时应适当控制水压，行车速度最高不得超过20公里/小时，避免把水溅到路边的行人；上路作业时，必须打开警示灯；要遵守道路交通安全法规，礼让行车，注意行人的安全；严格按照范围、路线、时间、次数、车速进行作业，不得随意变更。作业车辆作业完毕后及时清洗干净入库，做好行车、维修保养记录。</w:t>
      </w:r>
    </w:p>
    <w:p w14:paraId="139B7856">
      <w:pPr>
        <w:spacing w:line="400" w:lineRule="exact"/>
        <w:ind w:left="443" w:leftChars="208"/>
        <w:rPr>
          <w:rFonts w:hint="eastAsia" w:ascii="宋体" w:cs="宋体"/>
          <w:color w:val="auto"/>
          <w:sz w:val="22"/>
          <w:highlight w:val="none"/>
        </w:rPr>
      </w:pPr>
      <w:r>
        <w:rPr>
          <w:rFonts w:hint="eastAsia" w:ascii="宋体" w:cs="宋体"/>
          <w:color w:val="auto"/>
          <w:sz w:val="22"/>
          <w:highlight w:val="none"/>
          <w:lang w:val="en-US" w:eastAsia="zh-CN"/>
        </w:rPr>
        <w:t>2</w:t>
      </w:r>
      <w:r>
        <w:rPr>
          <w:rFonts w:hint="eastAsia" w:ascii="宋体" w:cs="宋体"/>
          <w:color w:val="auto"/>
          <w:sz w:val="22"/>
          <w:highlight w:val="none"/>
          <w:lang w:eastAsia="zh-CN"/>
        </w:rPr>
        <w:t>.</w:t>
      </w:r>
      <w:r>
        <w:rPr>
          <w:rFonts w:hint="eastAsia" w:ascii="宋体" w:cs="宋体"/>
          <w:color w:val="auto"/>
          <w:sz w:val="22"/>
          <w:highlight w:val="none"/>
        </w:rPr>
        <w:t>负责垃圾中转站管理、太阳能垃圾减量化处理设施管理。</w:t>
      </w:r>
    </w:p>
    <w:p w14:paraId="5BD838E1">
      <w:pPr>
        <w:spacing w:line="400" w:lineRule="exact"/>
        <w:ind w:firstLine="446" w:firstLineChars="200"/>
        <w:rPr>
          <w:rFonts w:ascii="宋体" w:eastAsia="宋体"/>
          <w:b w:val="0"/>
          <w:color w:val="auto"/>
          <w:kern w:val="2"/>
          <w:sz w:val="22"/>
          <w:szCs w:val="24"/>
          <w:highlight w:val="none"/>
        </w:rPr>
      </w:pPr>
      <w:r>
        <w:rPr>
          <w:rFonts w:hint="eastAsia" w:ascii="宋体" w:eastAsia="宋体"/>
          <w:b w:val="0"/>
          <w:color w:val="auto"/>
          <w:kern w:val="2"/>
          <w:sz w:val="22"/>
          <w:szCs w:val="24"/>
          <w:highlight w:val="none"/>
          <w:lang w:val="en-US" w:eastAsia="zh-CN"/>
        </w:rPr>
        <w:t>3.</w:t>
      </w:r>
      <w:r>
        <w:rPr>
          <w:rFonts w:hint="eastAsia" w:ascii="宋体" w:eastAsia="宋体"/>
          <w:b w:val="0"/>
          <w:color w:val="auto"/>
          <w:kern w:val="2"/>
          <w:sz w:val="22"/>
          <w:szCs w:val="24"/>
          <w:highlight w:val="none"/>
        </w:rPr>
        <w:t>负责垃圾分类工作所需的设施建设、管理及维护；</w:t>
      </w:r>
    </w:p>
    <w:p w14:paraId="3972DD7B">
      <w:pPr>
        <w:spacing w:line="400" w:lineRule="exact"/>
        <w:ind w:firstLine="446" w:firstLineChars="200"/>
        <w:rPr>
          <w:rFonts w:ascii="宋体" w:eastAsia="宋体"/>
          <w:b w:val="0"/>
          <w:color w:val="auto"/>
          <w:kern w:val="2"/>
          <w:sz w:val="22"/>
          <w:szCs w:val="24"/>
          <w:highlight w:val="none"/>
        </w:rPr>
      </w:pPr>
      <w:r>
        <w:rPr>
          <w:rFonts w:hint="eastAsia" w:ascii="宋体" w:eastAsia="宋体"/>
          <w:b w:val="0"/>
          <w:color w:val="auto"/>
          <w:kern w:val="2"/>
          <w:sz w:val="22"/>
          <w:szCs w:val="24"/>
          <w:highlight w:val="none"/>
          <w:lang w:val="en-US" w:eastAsia="zh-CN"/>
        </w:rPr>
        <w:t>4.</w:t>
      </w:r>
      <w:r>
        <w:rPr>
          <w:rFonts w:hint="eastAsia" w:ascii="宋体" w:eastAsia="宋体"/>
          <w:b w:val="0"/>
          <w:color w:val="auto"/>
          <w:kern w:val="2"/>
          <w:sz w:val="22"/>
          <w:szCs w:val="24"/>
          <w:highlight w:val="none"/>
        </w:rPr>
        <w:t>负责垃圾中转站管理与太阳能垃圾减量化处理管理房；</w:t>
      </w:r>
    </w:p>
    <w:p w14:paraId="2502EF25">
      <w:pPr>
        <w:tabs>
          <w:tab w:val="left" w:pos="400"/>
        </w:tabs>
        <w:spacing w:line="400" w:lineRule="exact"/>
        <w:ind w:firstLine="426" w:firstLineChars="200"/>
        <w:rPr>
          <w:color w:val="auto"/>
          <w:highlight w:val="none"/>
        </w:rPr>
      </w:pPr>
      <w:r>
        <w:rPr>
          <w:rFonts w:hint="eastAsia" w:ascii="Times New Roman" w:hAnsi="Times New Roman" w:eastAsia="宋体"/>
          <w:b w:val="0"/>
          <w:color w:val="auto"/>
          <w:kern w:val="2"/>
          <w:szCs w:val="24"/>
          <w:highlight w:val="none"/>
          <w:lang w:val="en-US" w:eastAsia="zh-CN"/>
        </w:rPr>
        <w:t>5.</w:t>
      </w:r>
      <w:r>
        <w:rPr>
          <w:rFonts w:hint="eastAsia" w:ascii="宋体" w:eastAsia="宋体"/>
          <w:b w:val="0"/>
          <w:color w:val="auto"/>
          <w:kern w:val="2"/>
          <w:sz w:val="22"/>
          <w:szCs w:val="24"/>
          <w:highlight w:val="none"/>
        </w:rPr>
        <w:t>负责泰顺县包垟乡垃圾分类</w:t>
      </w:r>
      <w:r>
        <w:rPr>
          <w:rFonts w:hint="eastAsia" w:ascii="宋体" w:hAnsi="Calibri" w:eastAsia="宋体" w:cs="宋体"/>
          <w:b w:val="0"/>
          <w:color w:val="auto"/>
          <w:kern w:val="2"/>
          <w:sz w:val="22"/>
          <w:szCs w:val="24"/>
          <w:highlight w:val="none"/>
        </w:rPr>
        <w:t>宣传，知晓率和投放准确率达到各年度考核要求。</w:t>
      </w:r>
    </w:p>
    <w:p w14:paraId="74C25805">
      <w:pPr>
        <w:spacing w:line="400" w:lineRule="exact"/>
        <w:ind w:firstLine="446" w:firstLineChars="200"/>
        <w:rPr>
          <w:rFonts w:hint="eastAsia"/>
          <w:color w:val="auto"/>
          <w:highlight w:val="none"/>
        </w:rPr>
      </w:pPr>
      <w:r>
        <w:rPr>
          <w:rFonts w:hint="eastAsia" w:ascii="宋体" w:hAnsi="宋体"/>
          <w:b/>
          <w:bCs/>
          <w:color w:val="auto"/>
          <w:sz w:val="22"/>
          <w:szCs w:val="22"/>
          <w:highlight w:val="none"/>
          <w:lang w:val="en-US" w:eastAsia="zh-CN"/>
        </w:rPr>
        <w:t>6.</w:t>
      </w:r>
      <w:r>
        <w:rPr>
          <w:rFonts w:hint="eastAsia" w:ascii="宋体" w:hAnsi="宋体"/>
          <w:b/>
          <w:bCs/>
          <w:color w:val="auto"/>
          <w:sz w:val="22"/>
          <w:szCs w:val="22"/>
          <w:highlight w:val="none"/>
        </w:rPr>
        <w:t>往年</w:t>
      </w:r>
      <w:r>
        <w:rPr>
          <w:rFonts w:hint="eastAsia" w:ascii="宋体" w:hAnsi="宋体"/>
          <w:b/>
          <w:bCs/>
          <w:color w:val="auto"/>
          <w:sz w:val="22"/>
          <w:szCs w:val="22"/>
          <w:highlight w:val="none"/>
          <w:lang w:eastAsia="zh-CN"/>
        </w:rPr>
        <w:t>包垟乡</w:t>
      </w:r>
      <w:r>
        <w:rPr>
          <w:rFonts w:hint="eastAsia" w:ascii="宋体" w:hAnsi="宋体"/>
          <w:b/>
          <w:bCs/>
          <w:color w:val="auto"/>
          <w:sz w:val="22"/>
          <w:szCs w:val="22"/>
          <w:highlight w:val="none"/>
        </w:rPr>
        <w:t>辖区总的日常垃圾清运数量约</w:t>
      </w:r>
      <w:r>
        <w:rPr>
          <w:rFonts w:hint="eastAsia" w:ascii="宋体" w:hAnsi="宋体"/>
          <w:b/>
          <w:bCs/>
          <w:color w:val="auto"/>
          <w:sz w:val="22"/>
          <w:szCs w:val="22"/>
          <w:highlight w:val="none"/>
          <w:u w:val="single"/>
          <w:lang w:val="en-US" w:eastAsia="zh-CN"/>
        </w:rPr>
        <w:t>1</w:t>
      </w:r>
      <w:r>
        <w:rPr>
          <w:rFonts w:hint="eastAsia" w:ascii="宋体" w:hAnsi="宋体"/>
          <w:b/>
          <w:bCs/>
          <w:color w:val="auto"/>
          <w:sz w:val="22"/>
          <w:szCs w:val="22"/>
          <w:highlight w:val="none"/>
        </w:rPr>
        <w:t>吨，春节期间</w:t>
      </w:r>
      <w:r>
        <w:rPr>
          <w:rFonts w:hint="eastAsia" w:ascii="宋体" w:hAnsi="宋体"/>
          <w:b/>
          <w:bCs/>
          <w:color w:val="auto"/>
          <w:sz w:val="22"/>
          <w:szCs w:val="22"/>
          <w:highlight w:val="none"/>
          <w:u w:val="single"/>
        </w:rPr>
        <w:t xml:space="preserve"> </w:t>
      </w:r>
      <w:r>
        <w:rPr>
          <w:rFonts w:ascii="宋体" w:hAnsi="宋体"/>
          <w:b/>
          <w:bCs/>
          <w:color w:val="auto"/>
          <w:sz w:val="22"/>
          <w:szCs w:val="22"/>
          <w:highlight w:val="none"/>
          <w:u w:val="single"/>
        </w:rPr>
        <w:t>2</w:t>
      </w:r>
      <w:r>
        <w:rPr>
          <w:rFonts w:hint="eastAsia" w:ascii="宋体" w:hAnsi="宋体"/>
          <w:b/>
          <w:bCs/>
          <w:color w:val="auto"/>
          <w:sz w:val="22"/>
          <w:szCs w:val="22"/>
          <w:highlight w:val="none"/>
        </w:rPr>
        <w:t>吨（参考）。</w:t>
      </w:r>
    </w:p>
    <w:p w14:paraId="75C5289D">
      <w:pPr>
        <w:spacing w:line="400" w:lineRule="exact"/>
        <w:ind w:firstLine="446" w:firstLineChars="200"/>
        <w:rPr>
          <w:rFonts w:ascii="宋体" w:cs="宋体"/>
          <w:b/>
          <w:bCs/>
          <w:color w:val="auto"/>
          <w:sz w:val="22"/>
          <w:highlight w:val="none"/>
        </w:rPr>
      </w:pPr>
      <w:r>
        <w:rPr>
          <w:rFonts w:hint="eastAsia" w:ascii="宋体" w:cs="宋体"/>
          <w:b/>
          <w:bCs/>
          <w:color w:val="auto"/>
          <w:sz w:val="22"/>
          <w:highlight w:val="none"/>
          <w:lang w:val="en-US" w:eastAsia="zh-CN"/>
        </w:rPr>
        <w:t>第</w:t>
      </w:r>
      <w:r>
        <w:rPr>
          <w:rFonts w:hint="eastAsia" w:ascii="宋体" w:cs="宋体"/>
          <w:b/>
          <w:bCs/>
          <w:color w:val="auto"/>
          <w:sz w:val="22"/>
          <w:highlight w:val="none"/>
        </w:rPr>
        <w:t>二条  合同价款</w:t>
      </w:r>
    </w:p>
    <w:p w14:paraId="4CF9B901">
      <w:pPr>
        <w:spacing w:line="400" w:lineRule="exact"/>
        <w:ind w:firstLine="446" w:firstLineChars="200"/>
        <w:rPr>
          <w:rFonts w:ascii="宋体" w:hAnsi="Calibri" w:eastAsia="宋体" w:cs="宋体"/>
          <w:b/>
          <w:color w:val="auto"/>
          <w:kern w:val="28"/>
          <w:sz w:val="22"/>
          <w:szCs w:val="22"/>
          <w:highlight w:val="none"/>
        </w:rPr>
      </w:pPr>
      <w:r>
        <w:rPr>
          <w:rFonts w:hint="eastAsia" w:ascii="宋体" w:hAnsi="宋体" w:eastAsia="宋体" w:cs="宋体"/>
          <w:color w:val="auto"/>
          <w:sz w:val="22"/>
          <w:szCs w:val="22"/>
          <w:highlight w:val="none"/>
        </w:rPr>
        <w:t>合同总价：</w:t>
      </w:r>
      <w:r>
        <w:rPr>
          <w:rFonts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rPr>
        <w:t>元</w:t>
      </w:r>
      <w:r>
        <w:rPr>
          <w:rFonts w:hint="eastAsia" w:ascii="宋体" w:hAnsi="宋体" w:eastAsia="宋体" w:cs="宋体"/>
          <w:color w:val="auto"/>
          <w:sz w:val="22"/>
          <w:szCs w:val="22"/>
          <w:highlight w:val="none"/>
        </w:rPr>
        <w:t>，包含运输工具营运费用（含燃料费、折旧费、维修费）、垃圾消纳费用、车辆保险费、</w:t>
      </w:r>
      <w:r>
        <w:rPr>
          <w:rFonts w:hint="eastAsia" w:ascii="宋体" w:hAnsi="宋体" w:eastAsia="宋体" w:cs="宋体"/>
          <w:color w:val="auto"/>
          <w:sz w:val="22"/>
          <w:szCs w:val="22"/>
          <w:highlight w:val="none"/>
          <w:lang w:val="en-US" w:eastAsia="zh-CN"/>
        </w:rPr>
        <w:t>垃圾桶更换费用、</w:t>
      </w:r>
      <w:r>
        <w:rPr>
          <w:rFonts w:hint="eastAsia" w:ascii="宋体" w:hAnsi="宋体" w:eastAsia="宋体" w:cs="宋体"/>
          <w:color w:val="auto"/>
          <w:sz w:val="22"/>
          <w:szCs w:val="22"/>
          <w:highlight w:val="none"/>
        </w:rPr>
        <w:t>人工费及人员保险费、福利费、装卸费、税金、利润、管理费用及所包含的所有风险、责任等完成招标内容的一切费用</w:t>
      </w:r>
      <w:r>
        <w:rPr>
          <w:rFonts w:hint="eastAsia" w:ascii="宋体" w:hAnsi="宋体" w:eastAsia="宋体" w:cs="宋体"/>
          <w:b/>
          <w:bCs/>
          <w:color w:val="auto"/>
          <w:sz w:val="22"/>
          <w:szCs w:val="22"/>
          <w:highlight w:val="none"/>
        </w:rPr>
        <w:t>。</w:t>
      </w:r>
    </w:p>
    <w:p w14:paraId="2BDE70C7">
      <w:pPr>
        <w:spacing w:line="400" w:lineRule="exact"/>
        <w:ind w:firstLine="446" w:firstLineChars="200"/>
        <w:rPr>
          <w:rFonts w:ascii="宋体" w:hAnsi="Calibri" w:eastAsia="宋体" w:cs="宋体"/>
          <w:color w:val="auto"/>
          <w:sz w:val="22"/>
          <w:szCs w:val="22"/>
          <w:highlight w:val="none"/>
        </w:rPr>
      </w:pPr>
      <w:r>
        <w:rPr>
          <w:rFonts w:hint="eastAsia" w:ascii="宋体" w:hAnsi="宋体" w:eastAsia="宋体" w:cs="宋体"/>
          <w:b/>
          <w:bCs/>
          <w:color w:val="auto"/>
          <w:sz w:val="22"/>
          <w:szCs w:val="22"/>
          <w:highlight w:val="none"/>
        </w:rPr>
        <w:t>第三条</w:t>
      </w:r>
      <w:r>
        <w:rPr>
          <w:rFonts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服务期限</w:t>
      </w:r>
    </w:p>
    <w:p w14:paraId="72CFACBD">
      <w:pPr>
        <w:spacing w:line="400" w:lineRule="exact"/>
        <w:ind w:firstLine="446"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合同协议期限：</w:t>
      </w:r>
      <w:r>
        <w:rPr>
          <w:rFonts w:hint="eastAsia" w:ascii="宋体" w:hAnsi="宋体" w:eastAsia="宋体" w:cs="宋体"/>
          <w:color w:val="auto"/>
          <w:sz w:val="22"/>
          <w:szCs w:val="22"/>
          <w:highlight w:val="none"/>
          <w:lang w:val="en-US" w:eastAsia="zh-CN"/>
        </w:rPr>
        <w:t>自合同签订之日起一年</w:t>
      </w:r>
      <w:r>
        <w:rPr>
          <w:rFonts w:hint="eastAsia" w:ascii="宋体" w:hAnsi="宋体" w:eastAsia="宋体" w:cs="宋体"/>
          <w:color w:val="auto"/>
          <w:sz w:val="22"/>
          <w:szCs w:val="22"/>
          <w:highlight w:val="none"/>
          <w:lang w:eastAsia="zh-CN"/>
        </w:rPr>
        <w:t>。</w:t>
      </w:r>
    </w:p>
    <w:p w14:paraId="399CF3A6">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若乙方有违约行为，甲方有权单方面解除合同。</w:t>
      </w:r>
    </w:p>
    <w:p w14:paraId="1318715E">
      <w:pPr>
        <w:spacing w:line="400" w:lineRule="exact"/>
        <w:ind w:left="426" w:leftChars="200"/>
        <w:rPr>
          <w:rFonts w:ascii="宋体" w:hAnsi="Calibri" w:eastAsia="宋体" w:cs="宋体"/>
          <w:b/>
          <w:bCs/>
          <w:color w:val="auto"/>
          <w:sz w:val="22"/>
          <w:szCs w:val="22"/>
          <w:highlight w:val="none"/>
        </w:rPr>
      </w:pPr>
      <w:r>
        <w:rPr>
          <w:rFonts w:hint="eastAsia" w:ascii="宋体" w:hAnsi="宋体" w:eastAsia="宋体" w:cs="宋体"/>
          <w:b/>
          <w:bCs/>
          <w:color w:val="auto"/>
          <w:sz w:val="22"/>
          <w:szCs w:val="22"/>
          <w:highlight w:val="none"/>
        </w:rPr>
        <w:t>第四条</w:t>
      </w:r>
      <w:r>
        <w:rPr>
          <w:rFonts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支付方式</w:t>
      </w:r>
    </w:p>
    <w:p w14:paraId="38043880">
      <w:pPr>
        <w:spacing w:line="400" w:lineRule="exact"/>
        <w:ind w:firstLine="430" w:firstLineChars="200"/>
        <w:rPr>
          <w:rFonts w:ascii="宋体" w:hAnsi="Calibri" w:eastAsia="宋体" w:cs="宋体"/>
          <w:color w:val="auto"/>
          <w:sz w:val="22"/>
          <w:highlight w:val="none"/>
        </w:rPr>
      </w:pPr>
      <w:r>
        <w:rPr>
          <w:rFonts w:hint="eastAsia" w:ascii="宋体" w:hAnsi="宋体" w:eastAsia="宋体" w:cs="宋体"/>
          <w:b/>
          <w:bCs/>
          <w:color w:val="auto"/>
          <w:spacing w:val="-4"/>
          <w:sz w:val="22"/>
          <w:szCs w:val="22"/>
          <w:highlight w:val="none"/>
          <w:lang w:val="en-US" w:eastAsia="zh-CN"/>
        </w:rPr>
        <w:t>1</w:t>
      </w:r>
      <w:r>
        <w:rPr>
          <w:rFonts w:hint="eastAsia" w:ascii="宋体" w:hAnsi="宋体" w:eastAsia="宋体" w:cs="宋体"/>
          <w:b/>
          <w:bCs/>
          <w:color w:val="auto"/>
          <w:spacing w:val="-4"/>
          <w:sz w:val="22"/>
          <w:szCs w:val="22"/>
          <w:highlight w:val="none"/>
        </w:rPr>
        <w:t>、</w:t>
      </w:r>
      <w:r>
        <w:rPr>
          <w:rFonts w:hint="eastAsia" w:ascii="宋体" w:cs="宋体"/>
          <w:color w:val="auto"/>
          <w:sz w:val="22"/>
          <w:highlight w:val="none"/>
        </w:rPr>
        <w:t>按季度支付，采用后付原则，由采购人根据考核奖罚情况（该季度结束后次月</w:t>
      </w:r>
      <w:r>
        <w:rPr>
          <w:rFonts w:ascii="宋体" w:cs="宋体"/>
          <w:color w:val="auto"/>
          <w:sz w:val="22"/>
          <w:highlight w:val="none"/>
        </w:rPr>
        <w:t>8</w:t>
      </w:r>
      <w:r>
        <w:rPr>
          <w:rFonts w:hint="eastAsia" w:ascii="宋体" w:cs="宋体"/>
          <w:color w:val="auto"/>
          <w:sz w:val="22"/>
          <w:highlight w:val="none"/>
        </w:rPr>
        <w:t>日前汇总）增减后，于该季度考核结束后由供应商提交发票后7个工作日内支付资金。</w:t>
      </w:r>
    </w:p>
    <w:p w14:paraId="42493B5B">
      <w:pPr>
        <w:spacing w:line="400" w:lineRule="exact"/>
        <w:ind w:firstLine="446" w:firstLineChars="200"/>
        <w:rPr>
          <w:rFonts w:ascii="宋体" w:hAnsi="Calibri" w:eastAsia="宋体" w:cs="宋体"/>
          <w:b/>
          <w:color w:val="auto"/>
          <w:sz w:val="22"/>
          <w:szCs w:val="22"/>
          <w:highlight w:val="none"/>
        </w:rPr>
      </w:pPr>
      <w:r>
        <w:rPr>
          <w:rFonts w:hint="eastAsia" w:ascii="宋体" w:hAnsi="宋体" w:eastAsia="宋体" w:cs="宋体"/>
          <w:b/>
          <w:bCs/>
          <w:color w:val="auto"/>
          <w:sz w:val="22"/>
          <w:szCs w:val="22"/>
          <w:highlight w:val="none"/>
        </w:rPr>
        <w:t>第五条</w:t>
      </w:r>
      <w:r>
        <w:rPr>
          <w:rFonts w:ascii="宋体" w:hAnsi="宋体" w:eastAsia="宋体" w:cs="宋体"/>
          <w:b/>
          <w:bCs/>
          <w:color w:val="auto"/>
          <w:sz w:val="22"/>
          <w:szCs w:val="22"/>
          <w:highlight w:val="none"/>
        </w:rPr>
        <w:t xml:space="preserve">  </w:t>
      </w:r>
      <w:r>
        <w:rPr>
          <w:rFonts w:hint="eastAsia" w:ascii="宋体" w:hAnsi="宋体" w:eastAsia="宋体" w:cs="宋体"/>
          <w:b/>
          <w:color w:val="auto"/>
          <w:sz w:val="22"/>
          <w:szCs w:val="22"/>
          <w:highlight w:val="none"/>
        </w:rPr>
        <w:t>甲方的权利与义务</w:t>
      </w:r>
    </w:p>
    <w:p w14:paraId="508D974C">
      <w:pPr>
        <w:spacing w:line="400" w:lineRule="exact"/>
        <w:ind w:firstLine="44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一、甲方的权利与义务</w:t>
      </w:r>
    </w:p>
    <w:p w14:paraId="6EF8E27F">
      <w:pPr>
        <w:spacing w:line="400" w:lineRule="exact"/>
        <w:ind w:firstLine="43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1</w:t>
      </w:r>
      <w:r>
        <w:rPr>
          <w:rFonts w:hint="eastAsia" w:ascii="宋体" w:hAnsi="宋体" w:eastAsia="宋体" w:cs="宋体"/>
          <w:color w:val="auto"/>
          <w:spacing w:val="-4"/>
          <w:sz w:val="22"/>
          <w:szCs w:val="22"/>
          <w:highlight w:val="none"/>
        </w:rPr>
        <w:t>、组织有关人员对乙方提供的清运计划进行审定确认；</w:t>
      </w:r>
    </w:p>
    <w:p w14:paraId="61CACFD6">
      <w:pPr>
        <w:spacing w:line="400" w:lineRule="exact"/>
        <w:ind w:firstLine="430" w:firstLineChars="200"/>
        <w:rPr>
          <w:rFonts w:hint="eastAsia" w:ascii="宋体" w:hAnsi="宋体" w:eastAsia="宋体" w:cs="宋体"/>
          <w:color w:val="auto"/>
          <w:spacing w:val="-4"/>
          <w:sz w:val="22"/>
          <w:szCs w:val="22"/>
          <w:highlight w:val="none"/>
        </w:rPr>
      </w:pPr>
      <w:r>
        <w:rPr>
          <w:rFonts w:ascii="宋体" w:hAnsi="宋体" w:eastAsia="宋体" w:cs="宋体"/>
          <w:color w:val="auto"/>
          <w:spacing w:val="-4"/>
          <w:sz w:val="22"/>
          <w:szCs w:val="22"/>
          <w:highlight w:val="none"/>
        </w:rPr>
        <w:t>2</w:t>
      </w:r>
      <w:r>
        <w:rPr>
          <w:rFonts w:hint="eastAsia" w:ascii="宋体" w:hAnsi="宋体" w:eastAsia="宋体" w:cs="宋体"/>
          <w:color w:val="auto"/>
          <w:spacing w:val="-4"/>
          <w:sz w:val="22"/>
          <w:szCs w:val="22"/>
          <w:highlight w:val="none"/>
        </w:rPr>
        <w:t>、协助乙方办理进场的相关手续；</w:t>
      </w:r>
    </w:p>
    <w:p w14:paraId="67E5F794">
      <w:pPr>
        <w:spacing w:line="400" w:lineRule="exact"/>
        <w:ind w:firstLine="430" w:firstLineChars="200"/>
        <w:rPr>
          <w:rFonts w:hint="eastAsia" w:ascii="宋体" w:hAnsi="宋体" w:eastAsia="宋体" w:cs="宋体"/>
          <w:color w:val="auto"/>
          <w:spacing w:val="-4"/>
          <w:sz w:val="22"/>
          <w:szCs w:val="22"/>
          <w:highlight w:val="none"/>
          <w:lang w:eastAsia="zh-CN"/>
        </w:rPr>
      </w:pPr>
      <w:r>
        <w:rPr>
          <w:rFonts w:hint="eastAsia" w:ascii="宋体" w:hAnsi="宋体" w:eastAsia="宋体" w:cs="宋体"/>
          <w:color w:val="auto"/>
          <w:spacing w:val="-4"/>
          <w:sz w:val="22"/>
          <w:szCs w:val="22"/>
          <w:highlight w:val="none"/>
        </w:rPr>
        <w:t>3、双方约定甲方应承担的其他工作</w:t>
      </w:r>
      <w:r>
        <w:rPr>
          <w:rFonts w:hint="eastAsia" w:ascii="宋体" w:hAnsi="宋体" w:eastAsia="宋体" w:cs="宋体"/>
          <w:color w:val="auto"/>
          <w:spacing w:val="-4"/>
          <w:sz w:val="22"/>
          <w:szCs w:val="22"/>
          <w:highlight w:val="none"/>
          <w:lang w:eastAsia="zh-CN"/>
        </w:rPr>
        <w:t>；</w:t>
      </w:r>
    </w:p>
    <w:p w14:paraId="523CB36C">
      <w:pPr>
        <w:spacing w:line="400" w:lineRule="exact"/>
        <w:ind w:firstLine="430" w:firstLineChars="200"/>
        <w:rPr>
          <w:rFonts w:hint="eastAsia" w:ascii="宋体" w:hAnsi="宋体" w:eastAsia="宋体" w:cs="宋体"/>
          <w:color w:val="auto"/>
          <w:spacing w:val="-4"/>
          <w:sz w:val="22"/>
          <w:szCs w:val="22"/>
          <w:highlight w:val="none"/>
          <w:lang w:val="en-US" w:eastAsia="zh-CN"/>
        </w:rPr>
      </w:pPr>
      <w:r>
        <w:rPr>
          <w:rFonts w:hint="eastAsia" w:ascii="宋体" w:hAnsi="宋体" w:eastAsia="宋体" w:cs="宋体"/>
          <w:color w:val="auto"/>
          <w:spacing w:val="-4"/>
          <w:sz w:val="22"/>
          <w:szCs w:val="22"/>
          <w:highlight w:val="none"/>
          <w:lang w:val="en-US" w:eastAsia="zh-CN"/>
        </w:rPr>
        <w:t>4、</w:t>
      </w:r>
      <w:r>
        <w:rPr>
          <w:rFonts w:hint="eastAsia" w:ascii="宋体" w:hAnsi="宋体" w:eastAsia="宋体" w:cs="宋体"/>
          <w:color w:val="auto"/>
          <w:spacing w:val="-4"/>
          <w:sz w:val="22"/>
          <w:szCs w:val="22"/>
          <w:highlight w:val="none"/>
        </w:rPr>
        <w:t>合同附件《</w:t>
      </w:r>
      <w:r>
        <w:rPr>
          <w:rFonts w:hint="eastAsia" w:ascii="宋体" w:hAnsi="宋体" w:eastAsia="宋体" w:cs="宋体"/>
          <w:color w:val="auto"/>
          <w:spacing w:val="-4"/>
          <w:sz w:val="22"/>
          <w:szCs w:val="22"/>
          <w:highlight w:val="none"/>
          <w:lang w:eastAsia="zh-CN"/>
        </w:rPr>
        <w:t>泰顺县包垟乡环卫保洁服务</w:t>
      </w:r>
      <w:r>
        <w:rPr>
          <w:rFonts w:hint="eastAsia" w:ascii="宋体" w:hAnsi="宋体" w:eastAsia="宋体" w:cs="宋体"/>
          <w:color w:val="auto"/>
          <w:spacing w:val="-4"/>
          <w:sz w:val="22"/>
          <w:szCs w:val="22"/>
          <w:highlight w:val="none"/>
        </w:rPr>
        <w:t>管理办法(试行)》作为甲方验收、考核乙方 的工作标准，作为判断乙方是否正确、完全地履行本协议约 定的义务内容的依据，即合格验收的依据。</w:t>
      </w:r>
    </w:p>
    <w:p w14:paraId="144BDED2">
      <w:pPr>
        <w:spacing w:line="400" w:lineRule="exact"/>
        <w:ind w:firstLine="446" w:firstLineChars="200"/>
        <w:rPr>
          <w:rFonts w:ascii="宋体" w:hAnsi="Calibri" w:eastAsia="宋体" w:cs="宋体"/>
          <w:b/>
          <w:color w:val="auto"/>
          <w:sz w:val="22"/>
          <w:szCs w:val="22"/>
          <w:highlight w:val="none"/>
        </w:rPr>
      </w:pPr>
      <w:r>
        <w:rPr>
          <w:rFonts w:hint="eastAsia" w:ascii="宋体" w:hAnsi="宋体" w:eastAsia="宋体" w:cs="宋体"/>
          <w:b/>
          <w:bCs/>
          <w:color w:val="auto"/>
          <w:sz w:val="22"/>
          <w:szCs w:val="22"/>
          <w:highlight w:val="none"/>
        </w:rPr>
        <w:t>第六条</w:t>
      </w:r>
      <w:r>
        <w:rPr>
          <w:rFonts w:ascii="宋体" w:hAnsi="宋体" w:eastAsia="宋体" w:cs="宋体"/>
          <w:b/>
          <w:bCs/>
          <w:color w:val="auto"/>
          <w:sz w:val="22"/>
          <w:szCs w:val="22"/>
          <w:highlight w:val="none"/>
        </w:rPr>
        <w:t xml:space="preserve">  </w:t>
      </w:r>
      <w:r>
        <w:rPr>
          <w:rFonts w:hint="eastAsia" w:ascii="宋体" w:hAnsi="宋体" w:eastAsia="宋体" w:cs="宋体"/>
          <w:b/>
          <w:color w:val="auto"/>
          <w:sz w:val="22"/>
          <w:szCs w:val="22"/>
          <w:highlight w:val="none"/>
        </w:rPr>
        <w:t>乙方的权利与义务</w:t>
      </w:r>
    </w:p>
    <w:p w14:paraId="299427F3">
      <w:pPr>
        <w:spacing w:line="400" w:lineRule="exact"/>
        <w:ind w:firstLine="430" w:firstLineChars="200"/>
        <w:rPr>
          <w:rFonts w:ascii="宋体" w:hAnsi="宋体" w:eastAsia="宋体" w:cs="宋体"/>
          <w:color w:val="auto"/>
          <w:sz w:val="22"/>
          <w:szCs w:val="22"/>
          <w:highlight w:val="none"/>
        </w:rPr>
      </w:pPr>
      <w:r>
        <w:rPr>
          <w:rFonts w:ascii="宋体" w:hAnsi="宋体" w:eastAsia="宋体" w:cs="宋体"/>
          <w:color w:val="auto"/>
          <w:spacing w:val="-4"/>
          <w:sz w:val="22"/>
          <w:szCs w:val="22"/>
          <w:highlight w:val="none"/>
        </w:rPr>
        <w:t>1</w:t>
      </w:r>
      <w:r>
        <w:rPr>
          <w:rFonts w:hint="eastAsia" w:ascii="宋体" w:hAnsi="宋体" w:eastAsia="宋体" w:cs="宋体"/>
          <w:color w:val="auto"/>
          <w:spacing w:val="-4"/>
          <w:sz w:val="22"/>
          <w:szCs w:val="22"/>
          <w:highlight w:val="none"/>
        </w:rPr>
        <w:t>、乙方接到甲方有关部门的通知，必须立即安排清运车辆、作业人员第一时间进行清理，并及时将垃圾清理前后对比照片发至甲方相应的管理工作群中。</w:t>
      </w:r>
      <w:r>
        <w:rPr>
          <w:rFonts w:hint="eastAsia" w:ascii="宋体" w:hAnsi="宋体" w:eastAsia="宋体" w:cs="宋体"/>
          <w:color w:val="auto"/>
          <w:sz w:val="22"/>
          <w:szCs w:val="22"/>
          <w:highlight w:val="none"/>
        </w:rPr>
        <w:t>同时，必须保证辖区范围内建筑垃圾2立方米（含）及以下日产日清，2立方米（不含）以上3立方米（不含）以下的建筑垃圾要求在</w:t>
      </w:r>
      <w:r>
        <w:rPr>
          <w:rFonts w:ascii="宋体" w:hAnsi="宋体" w:eastAsia="宋体" w:cs="宋体"/>
          <w:color w:val="auto"/>
          <w:sz w:val="22"/>
          <w:szCs w:val="22"/>
          <w:highlight w:val="none"/>
        </w:rPr>
        <w:t xml:space="preserve"> 48 </w:t>
      </w:r>
      <w:r>
        <w:rPr>
          <w:rFonts w:hint="eastAsia" w:ascii="宋体" w:hAnsi="宋体" w:eastAsia="宋体" w:cs="宋体"/>
          <w:color w:val="auto"/>
          <w:sz w:val="22"/>
          <w:szCs w:val="22"/>
          <w:highlight w:val="none"/>
        </w:rPr>
        <w:t>小时内完成清理。</w:t>
      </w:r>
    </w:p>
    <w:p w14:paraId="6D5FFE7F">
      <w:pPr>
        <w:spacing w:line="400" w:lineRule="exact"/>
        <w:ind w:firstLine="43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2</w:t>
      </w:r>
      <w:r>
        <w:rPr>
          <w:rFonts w:hint="eastAsia" w:ascii="宋体" w:hAnsi="宋体" w:eastAsia="宋体" w:cs="宋体"/>
          <w:color w:val="auto"/>
          <w:spacing w:val="-4"/>
          <w:sz w:val="22"/>
          <w:szCs w:val="22"/>
          <w:highlight w:val="none"/>
        </w:rPr>
        <w:t>、建筑垃圾清运过程中，应自觉将其周围清扫彻底到位，并保证清运沿途无垃圾撒落，保证无二次污染，污水无滴漏，清运完毕后必须将场地清扫、清洗干净；</w:t>
      </w:r>
    </w:p>
    <w:p w14:paraId="408A38A9">
      <w:pPr>
        <w:spacing w:line="400" w:lineRule="exact"/>
        <w:ind w:firstLine="43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3</w:t>
      </w:r>
      <w:r>
        <w:rPr>
          <w:rFonts w:hint="eastAsia" w:ascii="宋体" w:hAnsi="宋体" w:eastAsia="宋体" w:cs="宋体"/>
          <w:color w:val="auto"/>
          <w:spacing w:val="-4"/>
          <w:sz w:val="22"/>
          <w:szCs w:val="22"/>
          <w:highlight w:val="none"/>
        </w:rPr>
        <w:t>、背街小巷建筑垃圾清运时，运输车辆不能进入的，须根据实际情况安排好作业人员、车辆进行清理，并保证清运沿途无垃圾撒落；</w:t>
      </w:r>
    </w:p>
    <w:p w14:paraId="51B5BED0">
      <w:pPr>
        <w:spacing w:line="400" w:lineRule="exact"/>
        <w:ind w:firstLine="43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4</w:t>
      </w:r>
      <w:r>
        <w:rPr>
          <w:rFonts w:hint="eastAsia" w:ascii="宋体" w:hAnsi="宋体" w:eastAsia="宋体" w:cs="宋体"/>
          <w:color w:val="auto"/>
          <w:spacing w:val="-4"/>
          <w:sz w:val="22"/>
          <w:szCs w:val="22"/>
          <w:highlight w:val="none"/>
        </w:rPr>
        <w:t>、乙方应科学合理安排收运路线，避免噪音扰民等现象；</w:t>
      </w:r>
    </w:p>
    <w:p w14:paraId="3EFE2351">
      <w:pPr>
        <w:spacing w:line="400" w:lineRule="exact"/>
        <w:ind w:firstLine="43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5</w:t>
      </w:r>
      <w:r>
        <w:rPr>
          <w:rFonts w:hint="eastAsia" w:ascii="宋体" w:hAnsi="宋体" w:eastAsia="宋体" w:cs="宋体"/>
          <w:color w:val="auto"/>
          <w:spacing w:val="-4"/>
          <w:sz w:val="22"/>
          <w:szCs w:val="22"/>
          <w:highlight w:val="none"/>
        </w:rPr>
        <w:t>、服务期间若遇上级检查或</w:t>
      </w:r>
      <w:r>
        <w:rPr>
          <w:rFonts w:hint="eastAsia" w:ascii="宋体" w:hAnsi="宋体" w:cs="宋体"/>
          <w:color w:val="auto"/>
          <w:spacing w:val="-4"/>
          <w:sz w:val="22"/>
          <w:szCs w:val="22"/>
          <w:highlight w:val="none"/>
          <w:lang w:eastAsia="zh-CN"/>
        </w:rPr>
        <w:t>其他</w:t>
      </w:r>
      <w:r>
        <w:rPr>
          <w:rFonts w:hint="eastAsia" w:ascii="宋体" w:hAnsi="宋体" w:eastAsia="宋体" w:cs="宋体"/>
          <w:color w:val="auto"/>
          <w:spacing w:val="-4"/>
          <w:sz w:val="22"/>
          <w:szCs w:val="22"/>
          <w:highlight w:val="none"/>
        </w:rPr>
        <w:t>突击任务等特殊情况，应无条件服从甲方调配和安排；</w:t>
      </w:r>
    </w:p>
    <w:p w14:paraId="4D8C98DA">
      <w:pPr>
        <w:spacing w:line="400" w:lineRule="exact"/>
        <w:ind w:firstLine="43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6</w:t>
      </w:r>
      <w:r>
        <w:rPr>
          <w:rFonts w:hint="eastAsia" w:ascii="宋体" w:hAnsi="宋体" w:eastAsia="宋体" w:cs="宋体"/>
          <w:color w:val="auto"/>
          <w:spacing w:val="-4"/>
          <w:sz w:val="22"/>
          <w:szCs w:val="22"/>
          <w:highlight w:val="none"/>
        </w:rPr>
        <w:t>、乙方必须定期对相关作业人员进行安全教育，在垃圾运输过程中发生的任何交通事故均由乙方负责，并应及时通知甲方相关人员；</w:t>
      </w:r>
    </w:p>
    <w:p w14:paraId="08C8FF59">
      <w:pPr>
        <w:spacing w:line="400" w:lineRule="exact"/>
        <w:ind w:firstLine="43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7</w:t>
      </w:r>
      <w:r>
        <w:rPr>
          <w:rFonts w:hint="eastAsia" w:ascii="宋体" w:hAnsi="宋体" w:eastAsia="宋体" w:cs="宋体"/>
          <w:color w:val="auto"/>
          <w:spacing w:val="-4"/>
          <w:sz w:val="22"/>
          <w:szCs w:val="22"/>
          <w:highlight w:val="none"/>
        </w:rPr>
        <w:t>、乙方应建立针对本项目服务的相应管理制度；</w:t>
      </w:r>
    </w:p>
    <w:p w14:paraId="06ECAF81">
      <w:pPr>
        <w:spacing w:line="400" w:lineRule="exact"/>
        <w:ind w:firstLine="430" w:firstLineChars="200"/>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8、</w:t>
      </w:r>
      <w:r>
        <w:rPr>
          <w:rFonts w:hint="eastAsia" w:ascii="宋体" w:hAnsi="宋体" w:eastAsia="宋体" w:cs="宋体"/>
          <w:color w:val="auto"/>
          <w:sz w:val="22"/>
          <w:szCs w:val="22"/>
          <w:highlight w:val="none"/>
        </w:rPr>
        <w:t>第三者责任保险：乙方应为其员工、参与建筑垃圾清运及消纳服务的工作人员以及第三方投保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以保证在服务期间工作人员和财产</w:t>
      </w:r>
      <w:r>
        <w:rPr>
          <w:rFonts w:hint="eastAsia" w:ascii="宋体" w:hAnsi="宋体" w:cs="宋体"/>
          <w:color w:val="auto"/>
          <w:sz w:val="22"/>
          <w:szCs w:val="22"/>
          <w:highlight w:val="none"/>
          <w:lang w:eastAsia="zh-CN"/>
        </w:rPr>
        <w:t>，以及</w:t>
      </w:r>
      <w:r>
        <w:rPr>
          <w:rFonts w:hint="eastAsia" w:ascii="宋体" w:hAnsi="宋体" w:eastAsia="宋体" w:cs="宋体"/>
          <w:color w:val="auto"/>
          <w:sz w:val="22"/>
          <w:szCs w:val="22"/>
          <w:highlight w:val="none"/>
        </w:rPr>
        <w:t>遭受侵害的第三方  (工作人员之外的)遭受损失时得到补偿和赔偿。</w:t>
      </w:r>
    </w:p>
    <w:p w14:paraId="56F76B65">
      <w:pPr>
        <w:spacing w:line="400" w:lineRule="exact"/>
        <w:ind w:firstLine="430" w:firstLineChars="200"/>
        <w:rPr>
          <w:rFonts w:ascii="宋体" w:hAnsi="Calibri" w:eastAsia="宋体" w:cs="宋体"/>
          <w:color w:val="auto"/>
          <w:sz w:val="22"/>
          <w:szCs w:val="22"/>
          <w:highlight w:val="none"/>
        </w:rPr>
      </w:pPr>
      <w:r>
        <w:rPr>
          <w:rFonts w:ascii="宋体" w:hAnsi="宋体" w:eastAsia="宋体" w:cs="宋体"/>
          <w:color w:val="auto"/>
          <w:spacing w:val="-4"/>
          <w:sz w:val="22"/>
          <w:szCs w:val="22"/>
          <w:highlight w:val="none"/>
        </w:rPr>
        <w:t>9</w:t>
      </w:r>
      <w:r>
        <w:rPr>
          <w:rFonts w:hint="eastAsia" w:ascii="宋体" w:hAnsi="宋体" w:eastAsia="宋体" w:cs="宋体"/>
          <w:color w:val="auto"/>
          <w:spacing w:val="-4"/>
          <w:sz w:val="22"/>
          <w:szCs w:val="22"/>
          <w:highlight w:val="none"/>
        </w:rPr>
        <w:t>、员工人身意外保险：在服务期内，乙方应为其员工投保人身意外险，以保证甲方在乙方工作人员索</w:t>
      </w:r>
      <w:r>
        <w:rPr>
          <w:rFonts w:hint="eastAsia" w:ascii="宋体" w:hAnsi="宋体" w:eastAsia="宋体" w:cs="宋体"/>
          <w:color w:val="auto"/>
          <w:sz w:val="22"/>
          <w:szCs w:val="22"/>
          <w:highlight w:val="none"/>
        </w:rPr>
        <w:t>偿时不受任何责任的约束。</w:t>
      </w:r>
    </w:p>
    <w:p w14:paraId="01A3FDA8">
      <w:pPr>
        <w:spacing w:line="400" w:lineRule="exact"/>
        <w:ind w:firstLine="446" w:firstLineChars="200"/>
        <w:rPr>
          <w:rFonts w:ascii="宋体" w:hAnsi="Calibri" w:eastAsia="宋体" w:cs="宋体"/>
          <w:b/>
          <w:color w:val="auto"/>
          <w:sz w:val="22"/>
          <w:szCs w:val="22"/>
          <w:highlight w:val="none"/>
        </w:rPr>
      </w:pPr>
      <w:r>
        <w:rPr>
          <w:rFonts w:hint="eastAsia" w:ascii="宋体" w:hAnsi="宋体" w:eastAsia="宋体" w:cs="宋体"/>
          <w:b/>
          <w:bCs/>
          <w:color w:val="auto"/>
          <w:sz w:val="22"/>
          <w:szCs w:val="22"/>
          <w:highlight w:val="none"/>
        </w:rPr>
        <w:t>第七条</w:t>
      </w:r>
      <w:r>
        <w:rPr>
          <w:rFonts w:ascii="宋体" w:hAnsi="宋体" w:eastAsia="宋体" w:cs="宋体"/>
          <w:b/>
          <w:bCs/>
          <w:color w:val="auto"/>
          <w:sz w:val="22"/>
          <w:szCs w:val="22"/>
          <w:highlight w:val="none"/>
        </w:rPr>
        <w:t xml:space="preserve">  </w:t>
      </w:r>
      <w:r>
        <w:rPr>
          <w:rFonts w:hint="eastAsia" w:ascii="宋体" w:hAnsi="宋体" w:eastAsia="宋体" w:cs="宋体"/>
          <w:b/>
          <w:color w:val="auto"/>
          <w:sz w:val="22"/>
          <w:szCs w:val="22"/>
          <w:highlight w:val="none"/>
        </w:rPr>
        <w:t>不可抗力</w:t>
      </w:r>
    </w:p>
    <w:p w14:paraId="78ADE7FC">
      <w:pPr>
        <w:spacing w:line="400" w:lineRule="exact"/>
        <w:ind w:firstLine="43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1</w:t>
      </w:r>
      <w:r>
        <w:rPr>
          <w:rFonts w:hint="eastAsia" w:ascii="宋体" w:hAnsi="宋体" w:eastAsia="宋体" w:cs="宋体"/>
          <w:color w:val="auto"/>
          <w:spacing w:val="-4"/>
          <w:sz w:val="22"/>
          <w:szCs w:val="22"/>
          <w:highlight w:val="none"/>
        </w:rPr>
        <w:t>、如果合同各方因不可抗力而导致合同实施延误或不能履行合同义务的话，不应该承担误期赔偿或不能履行合同义务的责任。</w:t>
      </w:r>
    </w:p>
    <w:p w14:paraId="3F02D35D">
      <w:pPr>
        <w:spacing w:line="400" w:lineRule="exact"/>
        <w:ind w:firstLine="43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2</w:t>
      </w:r>
      <w:r>
        <w:rPr>
          <w:rFonts w:hint="eastAsia" w:ascii="宋体" w:hAnsi="宋体" w:eastAsia="宋体" w:cs="宋体"/>
          <w:color w:val="auto"/>
          <w:spacing w:val="-4"/>
          <w:sz w:val="22"/>
          <w:szCs w:val="22"/>
          <w:highlight w:val="none"/>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2A922C94">
      <w:pPr>
        <w:spacing w:line="400" w:lineRule="exact"/>
        <w:ind w:firstLine="430" w:firstLineChars="200"/>
        <w:rPr>
          <w:rFonts w:ascii="宋体" w:hAnsi="Calibri" w:eastAsia="宋体" w:cs="宋体"/>
          <w:color w:val="auto"/>
          <w:spacing w:val="-4"/>
          <w:sz w:val="22"/>
          <w:szCs w:val="22"/>
          <w:highlight w:val="none"/>
        </w:rPr>
      </w:pPr>
      <w:r>
        <w:rPr>
          <w:rFonts w:ascii="宋体" w:hAnsi="宋体" w:eastAsia="宋体" w:cs="宋体"/>
          <w:color w:val="auto"/>
          <w:spacing w:val="-4"/>
          <w:sz w:val="22"/>
          <w:szCs w:val="22"/>
          <w:highlight w:val="none"/>
        </w:rPr>
        <w:t>3</w:t>
      </w:r>
      <w:r>
        <w:rPr>
          <w:rFonts w:hint="eastAsia" w:ascii="宋体" w:hAnsi="宋体" w:eastAsia="宋体" w:cs="宋体"/>
          <w:color w:val="auto"/>
          <w:spacing w:val="-4"/>
          <w:sz w:val="22"/>
          <w:szCs w:val="22"/>
          <w:highlight w:val="none"/>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15D7EEA8">
      <w:pPr>
        <w:tabs>
          <w:tab w:val="left" w:pos="840"/>
        </w:tabs>
        <w:spacing w:line="400" w:lineRule="exact"/>
        <w:ind w:firstLine="446" w:firstLineChars="200"/>
        <w:rPr>
          <w:rFonts w:ascii="宋体" w:hAnsi="Calibri" w:eastAsia="宋体" w:cs="宋体"/>
          <w:b/>
          <w:color w:val="auto"/>
          <w:sz w:val="22"/>
          <w:szCs w:val="22"/>
          <w:highlight w:val="none"/>
        </w:rPr>
      </w:pPr>
      <w:r>
        <w:rPr>
          <w:rFonts w:hint="eastAsia" w:ascii="宋体" w:hAnsi="宋体" w:eastAsia="宋体" w:cs="宋体"/>
          <w:b/>
          <w:color w:val="auto"/>
          <w:sz w:val="22"/>
          <w:szCs w:val="22"/>
          <w:highlight w:val="none"/>
        </w:rPr>
        <w:t>第八条</w:t>
      </w:r>
      <w:r>
        <w:rPr>
          <w:rFonts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rPr>
        <w:t>违约终止合同</w:t>
      </w:r>
    </w:p>
    <w:p w14:paraId="7C2F0473">
      <w:pPr>
        <w:spacing w:line="400" w:lineRule="exact"/>
        <w:ind w:firstLine="446" w:firstLineChars="200"/>
        <w:rPr>
          <w:rFonts w:ascii="宋体" w:hAnsi="Calibri" w:eastAsia="宋体" w:cs="宋体"/>
          <w:color w:val="auto"/>
          <w:sz w:val="22"/>
          <w:szCs w:val="22"/>
          <w:highlight w:val="non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rPr>
        <w:t>、在甲方对乙方违约而采取的任何补救措施不受影响的情况下，可在下列情况下向乙方发出书面通知书，提出终止部分或全部合同。</w:t>
      </w:r>
    </w:p>
    <w:p w14:paraId="2AB2E7B5">
      <w:pPr>
        <w:tabs>
          <w:tab w:val="left" w:pos="840"/>
        </w:tabs>
        <w:spacing w:line="400" w:lineRule="exact"/>
        <w:ind w:firstLine="44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rPr>
        <w:t>）乙方提供的服务不符合国家规定和甲方的标准（详见附件）；</w:t>
      </w:r>
    </w:p>
    <w:p w14:paraId="793D352A">
      <w:pPr>
        <w:tabs>
          <w:tab w:val="left" w:pos="840"/>
        </w:tabs>
        <w:spacing w:line="400" w:lineRule="exact"/>
        <w:ind w:firstLine="44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2</w:t>
      </w:r>
      <w:r>
        <w:rPr>
          <w:rFonts w:hint="eastAsia" w:ascii="宋体" w:hAnsi="宋体" w:eastAsia="宋体" w:cs="宋体"/>
          <w:color w:val="auto"/>
          <w:sz w:val="22"/>
          <w:szCs w:val="22"/>
          <w:highlight w:val="none"/>
        </w:rPr>
        <w:t>）乙方没有按合同承诺的时间提供服务；</w:t>
      </w:r>
    </w:p>
    <w:p w14:paraId="72F1A82F">
      <w:pPr>
        <w:tabs>
          <w:tab w:val="left" w:pos="840"/>
        </w:tabs>
        <w:spacing w:line="400" w:lineRule="exact"/>
        <w:ind w:firstLine="44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3</w:t>
      </w:r>
      <w:r>
        <w:rPr>
          <w:rFonts w:hint="eastAsia" w:ascii="宋体" w:hAnsi="宋体" w:eastAsia="宋体" w:cs="宋体"/>
          <w:color w:val="auto"/>
          <w:sz w:val="22"/>
          <w:szCs w:val="22"/>
          <w:highlight w:val="none"/>
        </w:rPr>
        <w:t>）乙方没有按合同承诺的价格为甲方服务；</w:t>
      </w:r>
    </w:p>
    <w:p w14:paraId="74EFC5E5">
      <w:pPr>
        <w:tabs>
          <w:tab w:val="left" w:pos="840"/>
        </w:tabs>
        <w:spacing w:line="400" w:lineRule="exact"/>
        <w:ind w:firstLine="44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4</w:t>
      </w:r>
      <w:r>
        <w:rPr>
          <w:rFonts w:hint="eastAsia" w:ascii="宋体" w:hAnsi="宋体" w:eastAsia="宋体" w:cs="宋体"/>
          <w:color w:val="auto"/>
          <w:sz w:val="22"/>
          <w:szCs w:val="22"/>
          <w:highlight w:val="none"/>
        </w:rPr>
        <w:t>）乙方无故不提供合同服务范围内的内容；</w:t>
      </w:r>
    </w:p>
    <w:p w14:paraId="4B8B7D93">
      <w:pPr>
        <w:tabs>
          <w:tab w:val="left" w:pos="840"/>
        </w:tabs>
        <w:spacing w:line="400" w:lineRule="exact"/>
        <w:ind w:left="537" w:leftChars="200" w:hanging="111" w:hangingChars="5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5</w:t>
      </w:r>
      <w:r>
        <w:rPr>
          <w:rFonts w:hint="eastAsia" w:ascii="宋体" w:hAnsi="宋体" w:eastAsia="宋体" w:cs="宋体"/>
          <w:color w:val="auto"/>
          <w:sz w:val="22"/>
          <w:szCs w:val="22"/>
          <w:highlight w:val="none"/>
        </w:rPr>
        <w:t>）违反本合同规定或承诺的其他情形。</w:t>
      </w:r>
    </w:p>
    <w:p w14:paraId="3B33C779">
      <w:pPr>
        <w:tabs>
          <w:tab w:val="left" w:pos="840"/>
        </w:tabs>
        <w:spacing w:line="400" w:lineRule="exact"/>
        <w:ind w:firstLine="446" w:firstLineChars="200"/>
        <w:rPr>
          <w:rFonts w:ascii="宋体" w:hAnsi="Calibri" w:eastAsia="宋体" w:cs="宋体"/>
          <w:color w:val="auto"/>
          <w:sz w:val="22"/>
          <w:szCs w:val="22"/>
          <w:highlight w:val="none"/>
        </w:rPr>
      </w:pPr>
      <w:r>
        <w:rPr>
          <w:rFonts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rPr>
        <w:t>甲方在提出终止合同的同时，并没收乙方的履约保证金。</w:t>
      </w:r>
    </w:p>
    <w:p w14:paraId="74A1276D">
      <w:pPr>
        <w:spacing w:line="400" w:lineRule="exact"/>
        <w:ind w:firstLine="44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、如果甲方</w:t>
      </w:r>
      <w:r>
        <w:rPr>
          <w:rFonts w:hint="eastAsia" w:ascii="宋体" w:hAnsi="宋体" w:cs="宋体"/>
          <w:color w:val="auto"/>
          <w:sz w:val="22"/>
          <w:szCs w:val="22"/>
          <w:highlight w:val="none"/>
          <w:lang w:eastAsia="zh-CN"/>
        </w:rPr>
        <w:t>根据上述</w:t>
      </w:r>
      <w:r>
        <w:rPr>
          <w:rFonts w:hint="eastAsia" w:ascii="宋体" w:hAnsi="宋体" w:eastAsia="宋体" w:cs="宋体"/>
          <w:color w:val="auto"/>
          <w:sz w:val="22"/>
          <w:szCs w:val="22"/>
          <w:highlight w:val="none"/>
        </w:rPr>
        <w:t>规定，终止了全部或部分合同，甲方可以依其认为适当的条件和方法采购类似的服务，乙方应对超出的那部分费用负责。但是，乙方应继续执行合同中未终止的部分。</w:t>
      </w:r>
    </w:p>
    <w:p w14:paraId="2C591421">
      <w:pPr>
        <w:spacing w:line="400" w:lineRule="exact"/>
        <w:ind w:firstLine="446" w:firstLineChars="200"/>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、如果乙方在履行合同过程中有不正当竞争行为，甲方有权解除合同，并</w:t>
      </w:r>
      <w:r>
        <w:rPr>
          <w:rFonts w:hint="eastAsia" w:ascii="宋体" w:hAnsi="宋体" w:cs="宋体"/>
          <w:color w:val="auto"/>
          <w:sz w:val="22"/>
          <w:szCs w:val="22"/>
          <w:highlight w:val="none"/>
          <w:lang w:eastAsia="zh-CN"/>
        </w:rPr>
        <w:t>按照《中华人民共和国</w:t>
      </w:r>
      <w:r>
        <w:rPr>
          <w:rFonts w:hint="eastAsia" w:ascii="宋体" w:hAnsi="宋体" w:eastAsia="宋体" w:cs="宋体"/>
          <w:color w:val="auto"/>
          <w:sz w:val="22"/>
          <w:szCs w:val="22"/>
          <w:highlight w:val="none"/>
        </w:rPr>
        <w:t>反不正当竞争法》之规定由有关部门追究其法律责任。</w:t>
      </w:r>
    </w:p>
    <w:p w14:paraId="1ECFE81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、甲、乙双方在履行本合 同中存在争议的，应首先协商解决，如协商不能解决时，请示上级予以明确，如仍不能解决的，可以通过调解或法院诉讼解决。</w:t>
      </w:r>
    </w:p>
    <w:p w14:paraId="73389579">
      <w:pPr>
        <w:spacing w:line="400" w:lineRule="exact"/>
        <w:ind w:firstLine="446" w:firstLineChars="200"/>
        <w:rPr>
          <w:rFonts w:ascii="宋体" w:hAnsi="Calibri" w:eastAsia="宋体" w:cs="宋体"/>
          <w:b/>
          <w:bCs/>
          <w:color w:val="auto"/>
          <w:sz w:val="22"/>
          <w:szCs w:val="22"/>
          <w:highlight w:val="none"/>
        </w:rPr>
      </w:pPr>
      <w:r>
        <w:rPr>
          <w:rFonts w:hint="eastAsia" w:ascii="宋体" w:hAnsi="宋体" w:eastAsia="宋体" w:cs="宋体"/>
          <w:b/>
          <w:bCs/>
          <w:color w:val="auto"/>
          <w:sz w:val="22"/>
          <w:szCs w:val="22"/>
          <w:highlight w:val="none"/>
        </w:rPr>
        <w:t>第十条</w:t>
      </w:r>
      <w:r>
        <w:rPr>
          <w:rFonts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rPr>
        <w:t>本次招标活动中的招标文件、乙方的投标文件、有关澄清文件和中标通知书，为本合同不可分割的组成部分，具有同等的法律效力。</w:t>
      </w:r>
    </w:p>
    <w:p w14:paraId="52E35565">
      <w:pPr>
        <w:spacing w:line="400" w:lineRule="exact"/>
        <w:ind w:firstLine="446" w:firstLineChars="200"/>
        <w:rPr>
          <w:rFonts w:ascii="宋体" w:hAnsi="Calibri" w:eastAsia="宋体" w:cs="宋体"/>
          <w:color w:val="auto"/>
          <w:sz w:val="22"/>
          <w:szCs w:val="22"/>
          <w:highlight w:val="none"/>
        </w:rPr>
      </w:pPr>
      <w:r>
        <w:rPr>
          <w:rFonts w:hint="eastAsia" w:ascii="宋体" w:hAnsi="宋体" w:eastAsia="宋体" w:cs="宋体"/>
          <w:b/>
          <w:bCs/>
          <w:color w:val="auto"/>
          <w:sz w:val="22"/>
          <w:szCs w:val="22"/>
          <w:highlight w:val="none"/>
        </w:rPr>
        <w:t>第十一条</w:t>
      </w:r>
      <w:r>
        <w:rPr>
          <w:rFonts w:ascii="宋体" w:hAnsi="宋体" w:eastAsia="宋体" w:cs="宋体"/>
          <w:b/>
          <w:bCs/>
          <w:color w:val="auto"/>
          <w:sz w:val="22"/>
          <w:szCs w:val="22"/>
          <w:highlight w:val="none"/>
        </w:rPr>
        <w:t xml:space="preserve">  </w:t>
      </w:r>
      <w:r>
        <w:rPr>
          <w:rFonts w:hint="eastAsia" w:ascii="宋体" w:hAnsi="宋体" w:eastAsia="宋体" w:cs="宋体"/>
          <w:color w:val="auto"/>
          <w:sz w:val="22"/>
          <w:szCs w:val="22"/>
          <w:highlight w:val="none"/>
        </w:rPr>
        <w:t>本合同如有未尽事宜，甲乙双方应本着平等互利、友好协商的原则解决。如需修改或补充本合同内容，双方经协商后可签订补充合同，补充合同将作为本合同的一个组成部分。</w:t>
      </w:r>
    </w:p>
    <w:p w14:paraId="3873FABC">
      <w:pPr>
        <w:spacing w:line="400" w:lineRule="exact"/>
        <w:ind w:firstLine="446" w:firstLineChars="200"/>
        <w:rPr>
          <w:rFonts w:ascii="宋体" w:hAnsi="Calibri" w:eastAsia="宋体" w:cs="宋体"/>
          <w:color w:val="auto"/>
          <w:sz w:val="22"/>
          <w:szCs w:val="22"/>
          <w:highlight w:val="none"/>
        </w:rPr>
      </w:pPr>
      <w:r>
        <w:rPr>
          <w:rFonts w:hint="eastAsia" w:ascii="宋体" w:hAnsi="宋体" w:eastAsia="宋体" w:cs="宋体"/>
          <w:b/>
          <w:bCs/>
          <w:color w:val="auto"/>
          <w:sz w:val="22"/>
          <w:szCs w:val="22"/>
          <w:highlight w:val="none"/>
        </w:rPr>
        <w:t>第十二条</w:t>
      </w:r>
      <w:r>
        <w:rPr>
          <w:rFonts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rPr>
        <w:t>本合同在履行过程中发生的争议，由双方当事人协商解决，协商不成的，任何一方可向合同签订地点的人民法院提起诉讼。</w:t>
      </w:r>
    </w:p>
    <w:p w14:paraId="01E47D53">
      <w:pPr>
        <w:spacing w:line="400" w:lineRule="exact"/>
        <w:ind w:firstLine="446" w:firstLineChars="200"/>
        <w:rPr>
          <w:rFonts w:ascii="宋体" w:hAnsi="Calibri" w:eastAsia="宋体" w:cs="宋体"/>
          <w:color w:val="auto"/>
          <w:sz w:val="22"/>
          <w:szCs w:val="22"/>
          <w:highlight w:val="none"/>
        </w:rPr>
      </w:pPr>
      <w:r>
        <w:rPr>
          <w:rFonts w:hint="eastAsia" w:ascii="宋体" w:hAnsi="宋体" w:eastAsia="宋体" w:cs="宋体"/>
          <w:b/>
          <w:bCs/>
          <w:color w:val="auto"/>
          <w:sz w:val="22"/>
          <w:szCs w:val="22"/>
          <w:highlight w:val="none"/>
        </w:rPr>
        <w:t>第十</w:t>
      </w:r>
      <w:r>
        <w:rPr>
          <w:rFonts w:hint="eastAsia" w:ascii="宋体" w:hAnsi="宋体" w:eastAsia="宋体" w:cs="宋体"/>
          <w:b/>
          <w:color w:val="auto"/>
          <w:sz w:val="22"/>
          <w:szCs w:val="22"/>
          <w:highlight w:val="none"/>
        </w:rPr>
        <w:t>三</w:t>
      </w:r>
      <w:r>
        <w:rPr>
          <w:rFonts w:hint="eastAsia" w:ascii="宋体" w:hAnsi="宋体" w:eastAsia="宋体" w:cs="宋体"/>
          <w:b/>
          <w:bCs/>
          <w:color w:val="auto"/>
          <w:sz w:val="22"/>
          <w:szCs w:val="22"/>
          <w:highlight w:val="none"/>
        </w:rPr>
        <w:t>条</w:t>
      </w:r>
      <w:r>
        <w:rPr>
          <w:rFonts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rPr>
        <w:t>本合同一式五份，甲乙双方各执两份，合同签订后，乙方将合同原件交招标代理机构备案，合同自双方签字盖章后生效。</w:t>
      </w:r>
    </w:p>
    <w:p w14:paraId="0F199C72">
      <w:pPr>
        <w:tabs>
          <w:tab w:val="left" w:pos="840"/>
          <w:tab w:val="left" w:pos="2100"/>
        </w:tabs>
        <w:spacing w:line="400" w:lineRule="exact"/>
        <w:ind w:firstLine="446" w:firstLineChars="200"/>
        <w:rPr>
          <w:rFonts w:ascii="宋体" w:hAnsi="Calibri" w:eastAsia="宋体" w:cs="宋体"/>
          <w:b/>
          <w:color w:val="auto"/>
          <w:sz w:val="22"/>
          <w:szCs w:val="22"/>
          <w:highlight w:val="none"/>
        </w:rPr>
      </w:pPr>
      <w:bookmarkStart w:id="65" w:name="_Toc24636"/>
      <w:bookmarkStart w:id="66" w:name="_Toc11453"/>
      <w:bookmarkStart w:id="67" w:name="_Toc714"/>
      <w:bookmarkStart w:id="68" w:name="_Toc22257"/>
      <w:bookmarkStart w:id="69" w:name="_Toc20694"/>
      <w:bookmarkStart w:id="70" w:name="_Toc474696576"/>
      <w:bookmarkStart w:id="71" w:name="_Toc15668"/>
      <w:bookmarkStart w:id="72" w:name="_Toc7842"/>
      <w:bookmarkStart w:id="73" w:name="_Toc8641"/>
      <w:bookmarkStart w:id="74" w:name="_Toc425894578"/>
      <w:bookmarkStart w:id="75" w:name="_Toc9217"/>
      <w:bookmarkStart w:id="76" w:name="_Toc22366"/>
      <w:bookmarkStart w:id="77" w:name="_Toc3235"/>
      <w:bookmarkStart w:id="78" w:name="_Toc5923"/>
      <w:bookmarkStart w:id="79" w:name="_Toc18413"/>
      <w:bookmarkStart w:id="80" w:name="_Toc477610865"/>
      <w:bookmarkStart w:id="81" w:name="_Toc24078"/>
      <w:bookmarkStart w:id="82" w:name="_Toc26427"/>
      <w:bookmarkStart w:id="83" w:name="_Toc11232"/>
      <w:bookmarkStart w:id="84" w:name="_Toc9716"/>
      <w:bookmarkStart w:id="85" w:name="_Toc23583"/>
      <w:bookmarkStart w:id="86" w:name="_Toc27773"/>
      <w:bookmarkStart w:id="87" w:name="_Toc16423"/>
      <w:r>
        <w:rPr>
          <w:rFonts w:hint="eastAsia" w:ascii="宋体" w:hAnsi="宋体" w:eastAsia="宋体" w:cs="宋体"/>
          <w:b/>
          <w:color w:val="auto"/>
          <w:sz w:val="22"/>
          <w:szCs w:val="22"/>
          <w:highlight w:val="none"/>
        </w:rPr>
        <w:t>第十四条</w:t>
      </w:r>
      <w:r>
        <w:rPr>
          <w:rFonts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rPr>
        <w:t>文件构成</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0F4DEF9">
      <w:pPr>
        <w:tabs>
          <w:tab w:val="left" w:pos="840"/>
        </w:tabs>
        <w:spacing w:line="400" w:lineRule="exact"/>
        <w:ind w:firstLine="43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本合同由下列文件构成：</w:t>
      </w:r>
    </w:p>
    <w:p w14:paraId="6F238553">
      <w:pPr>
        <w:tabs>
          <w:tab w:val="left" w:pos="840"/>
        </w:tabs>
        <w:spacing w:line="400" w:lineRule="exact"/>
        <w:ind w:firstLine="43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rPr>
        <w:t>）双方在履行本合同过程中形成的补充合同或其他类似文件；</w:t>
      </w:r>
    </w:p>
    <w:p w14:paraId="00553E33">
      <w:pPr>
        <w:tabs>
          <w:tab w:val="left" w:pos="840"/>
        </w:tabs>
        <w:spacing w:line="400" w:lineRule="exact"/>
        <w:ind w:firstLine="43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2</w:t>
      </w:r>
      <w:r>
        <w:rPr>
          <w:rFonts w:hint="eastAsia" w:ascii="宋体" w:hAnsi="宋体" w:eastAsia="宋体" w:cs="宋体"/>
          <w:color w:val="auto"/>
          <w:sz w:val="22"/>
          <w:szCs w:val="22"/>
          <w:highlight w:val="none"/>
        </w:rPr>
        <w:t>）中标（成交）通知书；</w:t>
      </w:r>
    </w:p>
    <w:p w14:paraId="497278EF">
      <w:pPr>
        <w:tabs>
          <w:tab w:val="left" w:pos="840"/>
        </w:tabs>
        <w:spacing w:line="400" w:lineRule="exact"/>
        <w:ind w:firstLine="43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3</w:t>
      </w:r>
      <w:r>
        <w:rPr>
          <w:rFonts w:hint="eastAsia" w:ascii="宋体" w:hAnsi="宋体" w:eastAsia="宋体" w:cs="宋体"/>
          <w:color w:val="auto"/>
          <w:sz w:val="22"/>
          <w:szCs w:val="22"/>
          <w:highlight w:val="none"/>
        </w:rPr>
        <w:t>）询标记录；</w:t>
      </w:r>
    </w:p>
    <w:p w14:paraId="2C408ADD">
      <w:pPr>
        <w:tabs>
          <w:tab w:val="left" w:pos="840"/>
        </w:tabs>
        <w:spacing w:line="400" w:lineRule="exact"/>
        <w:ind w:firstLine="43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4</w:t>
      </w: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响应</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文件；</w:t>
      </w:r>
    </w:p>
    <w:p w14:paraId="071C6EDA">
      <w:pPr>
        <w:tabs>
          <w:tab w:val="left" w:pos="840"/>
        </w:tabs>
        <w:spacing w:line="400" w:lineRule="exact"/>
        <w:ind w:firstLine="43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5</w:t>
      </w:r>
      <w:r>
        <w:rPr>
          <w:rFonts w:hint="eastAsia" w:ascii="宋体" w:hAnsi="宋体" w:eastAsia="宋体" w:cs="宋体"/>
          <w:color w:val="auto"/>
          <w:sz w:val="22"/>
          <w:szCs w:val="22"/>
          <w:highlight w:val="none"/>
        </w:rPr>
        <w:t>）招标文件</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竞争性磋商文件</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4CDDA15">
      <w:pPr>
        <w:tabs>
          <w:tab w:val="left" w:pos="840"/>
        </w:tabs>
        <w:spacing w:line="400" w:lineRule="exact"/>
        <w:ind w:firstLine="436" w:firstLineChars="196"/>
        <w:rPr>
          <w:rFonts w:ascii="宋体" w:hAnsi="Calibri" w:eastAsia="宋体" w:cs="宋体"/>
          <w:color w:val="auto"/>
          <w:sz w:val="22"/>
          <w:szCs w:val="22"/>
          <w:highlight w:val="none"/>
        </w:rPr>
      </w:pP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6</w:t>
      </w:r>
      <w:r>
        <w:rPr>
          <w:rFonts w:hint="eastAsia" w:ascii="宋体" w:hAnsi="宋体" w:eastAsia="宋体" w:cs="宋体"/>
          <w:color w:val="auto"/>
          <w:sz w:val="22"/>
          <w:szCs w:val="22"/>
          <w:highlight w:val="none"/>
        </w:rPr>
        <w:t>）其他合同文件。</w:t>
      </w:r>
    </w:p>
    <w:p w14:paraId="3EBB361C">
      <w:pPr>
        <w:tabs>
          <w:tab w:val="left" w:pos="840"/>
        </w:tabs>
        <w:spacing w:line="400" w:lineRule="exact"/>
        <w:ind w:firstLine="436" w:firstLineChars="196"/>
        <w:rPr>
          <w:rFonts w:hint="eastAsia" w:ascii="宋体" w:eastAsia="宋体" w:cs="宋体"/>
          <w:color w:val="auto"/>
          <w:sz w:val="22"/>
          <w:szCs w:val="22"/>
          <w:highlight w:val="none"/>
          <w:lang w:eastAsia="zh-CN"/>
        </w:rPr>
      </w:pPr>
      <w:r>
        <w:rPr>
          <w:rFonts w:hint="eastAsia" w:ascii="宋体" w:hAnsi="宋体" w:eastAsia="宋体" w:cs="宋体"/>
          <w:color w:val="auto"/>
          <w:sz w:val="22"/>
          <w:szCs w:val="22"/>
          <w:highlight w:val="none"/>
        </w:rPr>
        <w:t>解释顺序：本合同履行过程中，如果上述第所述各文件之间存在差异或矛盾之处，则应按上述所述先后顺序依次进行解释</w:t>
      </w:r>
      <w:r>
        <w:rPr>
          <w:rFonts w:hint="eastAsia" w:ascii="宋体" w:hAnsi="宋体" w:cs="宋体"/>
          <w:color w:val="auto"/>
          <w:sz w:val="22"/>
          <w:szCs w:val="22"/>
          <w:highlight w:val="none"/>
          <w:lang w:eastAsia="zh-CN"/>
        </w:rPr>
        <w:t>。</w:t>
      </w:r>
    </w:p>
    <w:tbl>
      <w:tblPr>
        <w:tblStyle w:val="26"/>
        <w:tblpPr w:leftFromText="180" w:rightFromText="180" w:vertAnchor="text" w:horzAnchor="page" w:tblpX="910" w:tblpY="301"/>
        <w:tblOverlap w:val="never"/>
        <w:tblW w:w="10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8"/>
        <w:gridCol w:w="5581"/>
      </w:tblGrid>
      <w:tr w14:paraId="2B27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3449A824">
            <w:pPr>
              <w:snapToGrid w:val="0"/>
              <w:spacing w:line="400" w:lineRule="exact"/>
              <w:rPr>
                <w:rFonts w:ascii="宋体" w:eastAsia="宋体" w:cs="宋体"/>
                <w:color w:val="auto"/>
                <w:sz w:val="22"/>
                <w:szCs w:val="22"/>
                <w:highlight w:val="none"/>
                <w:lang w:val="en-US" w:eastAsia="zh-CN"/>
              </w:rPr>
            </w:pPr>
            <w:r>
              <w:rPr>
                <w:rFonts w:hint="eastAsia" w:ascii="宋体" w:hAnsi="宋体" w:cs="宋体"/>
                <w:color w:val="auto"/>
                <w:sz w:val="22"/>
                <w:szCs w:val="22"/>
                <w:highlight w:val="none"/>
              </w:rPr>
              <w:t>甲方（盖章）：</w:t>
            </w:r>
          </w:p>
        </w:tc>
        <w:tc>
          <w:tcPr>
            <w:tcW w:w="5581" w:type="dxa"/>
          </w:tcPr>
          <w:p w14:paraId="79BC4034">
            <w:pPr>
              <w:snapToGrid w:val="0"/>
              <w:spacing w:line="400" w:lineRule="exact"/>
              <w:rPr>
                <w:rFonts w:ascii="宋体" w:eastAsia="宋体" w:cs="宋体"/>
                <w:color w:val="auto"/>
                <w:sz w:val="22"/>
                <w:szCs w:val="22"/>
                <w:highlight w:val="none"/>
                <w:lang w:val="en-US" w:eastAsia="zh-CN"/>
              </w:rPr>
            </w:pPr>
            <w:r>
              <w:rPr>
                <w:rFonts w:hint="eastAsia" w:ascii="宋体" w:hAnsi="宋体" w:cs="宋体"/>
                <w:color w:val="auto"/>
                <w:sz w:val="22"/>
                <w:szCs w:val="22"/>
                <w:highlight w:val="none"/>
              </w:rPr>
              <w:t>乙方（盖章）：</w:t>
            </w:r>
            <w:r>
              <w:rPr>
                <w:rFonts w:hint="eastAsia" w:ascii="宋体" w:hAnsi="宋体" w:cs="宋体"/>
                <w:color w:val="auto"/>
                <w:sz w:val="22"/>
                <w:szCs w:val="22"/>
                <w:highlight w:val="none"/>
                <w:lang w:val="en-US" w:eastAsia="zh-CN"/>
              </w:rPr>
              <w:t>司</w:t>
            </w:r>
          </w:p>
        </w:tc>
      </w:tr>
      <w:tr w14:paraId="5869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64CC229A">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法定代表人（签字）：</w:t>
            </w:r>
          </w:p>
        </w:tc>
        <w:tc>
          <w:tcPr>
            <w:tcW w:w="5581" w:type="dxa"/>
          </w:tcPr>
          <w:p w14:paraId="78BB9F1D">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法定代表人（签字）：</w:t>
            </w:r>
          </w:p>
        </w:tc>
      </w:tr>
      <w:tr w14:paraId="7563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0117DDCE">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地址：</w:t>
            </w:r>
          </w:p>
        </w:tc>
        <w:tc>
          <w:tcPr>
            <w:tcW w:w="5581" w:type="dxa"/>
          </w:tcPr>
          <w:p w14:paraId="0AAC44E6">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地址：</w:t>
            </w:r>
          </w:p>
        </w:tc>
      </w:tr>
      <w:tr w14:paraId="024E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4FD4F939">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邮政编码：</w:t>
            </w:r>
          </w:p>
        </w:tc>
        <w:tc>
          <w:tcPr>
            <w:tcW w:w="5581" w:type="dxa"/>
          </w:tcPr>
          <w:p w14:paraId="5F57F705">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邮政编码：</w:t>
            </w:r>
          </w:p>
        </w:tc>
      </w:tr>
      <w:tr w14:paraId="44EA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55E50BB8">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电话：</w:t>
            </w:r>
          </w:p>
        </w:tc>
        <w:tc>
          <w:tcPr>
            <w:tcW w:w="5581" w:type="dxa"/>
          </w:tcPr>
          <w:p w14:paraId="5728470A">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电话：</w:t>
            </w:r>
          </w:p>
        </w:tc>
      </w:tr>
      <w:tr w14:paraId="08F4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6DE29CAA">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传真：</w:t>
            </w:r>
          </w:p>
        </w:tc>
        <w:tc>
          <w:tcPr>
            <w:tcW w:w="5581" w:type="dxa"/>
          </w:tcPr>
          <w:p w14:paraId="3CB0664D">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传真：</w:t>
            </w:r>
          </w:p>
        </w:tc>
      </w:tr>
      <w:tr w14:paraId="02F6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73D7BA9B">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开户银行：</w:t>
            </w:r>
          </w:p>
        </w:tc>
        <w:tc>
          <w:tcPr>
            <w:tcW w:w="5581" w:type="dxa"/>
          </w:tcPr>
          <w:p w14:paraId="6FB30880">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开户银行：</w:t>
            </w:r>
          </w:p>
        </w:tc>
      </w:tr>
      <w:tr w14:paraId="62F9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838" w:type="dxa"/>
          </w:tcPr>
          <w:p w14:paraId="51F6BD7B">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账号：</w:t>
            </w:r>
          </w:p>
        </w:tc>
        <w:tc>
          <w:tcPr>
            <w:tcW w:w="5581" w:type="dxa"/>
          </w:tcPr>
          <w:p w14:paraId="7AB5BBFC">
            <w:pPr>
              <w:snapToGrid w:val="0"/>
              <w:spacing w:line="400" w:lineRule="exact"/>
              <w:rPr>
                <w:rFonts w:ascii="宋体" w:cs="宋体"/>
                <w:color w:val="auto"/>
                <w:sz w:val="22"/>
                <w:szCs w:val="22"/>
                <w:highlight w:val="none"/>
              </w:rPr>
            </w:pPr>
            <w:r>
              <w:rPr>
                <w:rFonts w:hint="eastAsia" w:ascii="宋体" w:hAnsi="宋体" w:cs="宋体"/>
                <w:color w:val="auto"/>
                <w:sz w:val="22"/>
                <w:szCs w:val="22"/>
                <w:highlight w:val="none"/>
              </w:rPr>
              <w:t>账号：</w:t>
            </w:r>
          </w:p>
        </w:tc>
      </w:tr>
    </w:tbl>
    <w:p w14:paraId="4334AA91">
      <w:pPr>
        <w:tabs>
          <w:tab w:val="left" w:pos="1069"/>
          <w:tab w:val="left" w:pos="2352"/>
        </w:tabs>
        <w:spacing w:line="430" w:lineRule="atLeast"/>
        <w:rPr>
          <w:rFonts w:ascii="宋体"/>
          <w:color w:val="auto"/>
          <w:sz w:val="22"/>
          <w:highlight w:val="none"/>
          <w:u w:val="single"/>
        </w:rPr>
      </w:pPr>
    </w:p>
    <w:p w14:paraId="02C7F172">
      <w:pPr>
        <w:tabs>
          <w:tab w:val="left" w:pos="1069"/>
          <w:tab w:val="left" w:pos="2352"/>
        </w:tabs>
        <w:spacing w:line="430" w:lineRule="atLeast"/>
        <w:rPr>
          <w:rFonts w:ascii="宋体" w:hAnsi="宋体" w:cs="宋体"/>
          <w:color w:val="auto"/>
          <w:sz w:val="22"/>
          <w:highlight w:val="none"/>
          <w:u w:val="single"/>
        </w:rPr>
      </w:pPr>
      <w:r>
        <w:rPr>
          <w:rFonts w:hint="eastAsia" w:ascii="宋体"/>
          <w:color w:val="auto"/>
          <w:sz w:val="22"/>
          <w:highlight w:val="none"/>
          <w:u w:val="single"/>
        </w:rPr>
        <w:t>注：以上合同条款供采购人及中标（成交）供应商作为商务参考，具体签订时，采购人可根据自身项目情况与中标（成交）供应商协商另行修改拟定相关合同具体条款。</w:t>
      </w:r>
    </w:p>
    <w:p w14:paraId="4A6820EE">
      <w:pPr>
        <w:pStyle w:val="8"/>
        <w:tabs>
          <w:tab w:val="left" w:pos="1069"/>
          <w:tab w:val="left" w:pos="2352"/>
        </w:tabs>
        <w:jc w:val="center"/>
        <w:rPr>
          <w:rFonts w:hint="eastAsia" w:ascii="宋体" w:hAnsi="宋体" w:cs="宋体"/>
          <w:b/>
          <w:bCs/>
          <w:color w:val="auto"/>
          <w:sz w:val="32"/>
          <w:szCs w:val="32"/>
          <w:highlight w:val="none"/>
        </w:rPr>
      </w:pPr>
    </w:p>
    <w:p w14:paraId="3D44EB34">
      <w:pPr>
        <w:pStyle w:val="8"/>
        <w:tabs>
          <w:tab w:val="left" w:pos="1069"/>
          <w:tab w:val="left" w:pos="2352"/>
        </w:tabs>
        <w:jc w:val="center"/>
        <w:rPr>
          <w:rFonts w:hint="eastAsia" w:ascii="宋体" w:hAnsi="宋体" w:cs="宋体"/>
          <w:b/>
          <w:bCs/>
          <w:color w:val="auto"/>
          <w:sz w:val="32"/>
          <w:szCs w:val="32"/>
          <w:highlight w:val="none"/>
        </w:rPr>
      </w:pPr>
    </w:p>
    <w:p w14:paraId="12A8217C">
      <w:pPr>
        <w:pStyle w:val="8"/>
        <w:tabs>
          <w:tab w:val="left" w:pos="1069"/>
          <w:tab w:val="left" w:pos="2352"/>
        </w:tabs>
        <w:jc w:val="center"/>
        <w:rPr>
          <w:rFonts w:hint="eastAsia" w:ascii="宋体" w:hAnsi="宋体" w:cs="宋体"/>
          <w:b/>
          <w:bCs/>
          <w:color w:val="auto"/>
          <w:sz w:val="32"/>
          <w:szCs w:val="32"/>
          <w:highlight w:val="none"/>
        </w:rPr>
      </w:pPr>
    </w:p>
    <w:p w14:paraId="707A47C3">
      <w:pPr>
        <w:pStyle w:val="8"/>
        <w:tabs>
          <w:tab w:val="left" w:pos="1069"/>
          <w:tab w:val="left" w:pos="2352"/>
        </w:tabs>
        <w:jc w:val="center"/>
        <w:rPr>
          <w:rFonts w:hint="eastAsia" w:ascii="宋体" w:hAnsi="宋体" w:cs="宋体"/>
          <w:b/>
          <w:bCs/>
          <w:color w:val="auto"/>
          <w:sz w:val="32"/>
          <w:szCs w:val="32"/>
          <w:highlight w:val="none"/>
        </w:rPr>
      </w:pPr>
    </w:p>
    <w:p w14:paraId="377DF0FE">
      <w:pPr>
        <w:pStyle w:val="8"/>
        <w:tabs>
          <w:tab w:val="left" w:pos="1069"/>
          <w:tab w:val="left" w:pos="2352"/>
        </w:tabs>
        <w:jc w:val="center"/>
        <w:rPr>
          <w:rFonts w:hint="eastAsia" w:ascii="宋体" w:hAnsi="宋体" w:cs="宋体"/>
          <w:b/>
          <w:bCs/>
          <w:color w:val="auto"/>
          <w:sz w:val="32"/>
          <w:szCs w:val="32"/>
          <w:highlight w:val="none"/>
        </w:rPr>
      </w:pPr>
    </w:p>
    <w:p w14:paraId="79E02981">
      <w:pPr>
        <w:pStyle w:val="8"/>
        <w:tabs>
          <w:tab w:val="left" w:pos="1069"/>
          <w:tab w:val="left" w:pos="2352"/>
        </w:tabs>
        <w:jc w:val="center"/>
        <w:rPr>
          <w:rFonts w:hint="eastAsia" w:ascii="宋体" w:hAnsi="宋体" w:cs="宋体"/>
          <w:b/>
          <w:bCs/>
          <w:color w:val="auto"/>
          <w:sz w:val="32"/>
          <w:szCs w:val="32"/>
          <w:highlight w:val="none"/>
        </w:rPr>
      </w:pPr>
    </w:p>
    <w:p w14:paraId="3AE2189D">
      <w:pPr>
        <w:pStyle w:val="8"/>
        <w:tabs>
          <w:tab w:val="left" w:pos="1069"/>
          <w:tab w:val="left" w:pos="2352"/>
        </w:tabs>
        <w:jc w:val="center"/>
        <w:rPr>
          <w:rFonts w:hint="eastAsia" w:ascii="宋体" w:hAnsi="宋体" w:cs="宋体"/>
          <w:b/>
          <w:bCs/>
          <w:color w:val="auto"/>
          <w:sz w:val="32"/>
          <w:szCs w:val="32"/>
          <w:highlight w:val="none"/>
        </w:rPr>
      </w:pPr>
    </w:p>
    <w:p w14:paraId="2AEB96C3">
      <w:pPr>
        <w:pStyle w:val="8"/>
        <w:tabs>
          <w:tab w:val="left" w:pos="1069"/>
          <w:tab w:val="left" w:pos="2352"/>
        </w:tabs>
        <w:jc w:val="center"/>
        <w:rPr>
          <w:rFonts w:hint="eastAsia" w:ascii="宋体" w:hAnsi="宋体" w:cs="宋体"/>
          <w:b/>
          <w:bCs/>
          <w:color w:val="auto"/>
          <w:sz w:val="32"/>
          <w:szCs w:val="32"/>
          <w:highlight w:val="none"/>
        </w:rPr>
      </w:pPr>
    </w:p>
    <w:p w14:paraId="182E2157">
      <w:pPr>
        <w:pStyle w:val="8"/>
        <w:tabs>
          <w:tab w:val="left" w:pos="1069"/>
          <w:tab w:val="left" w:pos="2352"/>
        </w:tabs>
        <w:jc w:val="center"/>
        <w:rPr>
          <w:rFonts w:hint="eastAsia" w:ascii="宋体" w:hAnsi="宋体" w:cs="宋体"/>
          <w:b/>
          <w:bCs/>
          <w:color w:val="auto"/>
          <w:sz w:val="32"/>
          <w:szCs w:val="32"/>
          <w:highlight w:val="none"/>
        </w:rPr>
      </w:pPr>
    </w:p>
    <w:p w14:paraId="42B637BC">
      <w:pPr>
        <w:pStyle w:val="8"/>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第六部分、附件</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rPr>
        <w:t>投标（响应）文件格式</w:t>
      </w:r>
      <w:bookmarkEnd w:id="64"/>
    </w:p>
    <w:p w14:paraId="3BC10384">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w:t>
      </w:r>
      <w:r>
        <w:rPr>
          <w:rFonts w:hint="eastAsia" w:ascii="宋体" w:hAnsi="宋体" w:cs="宋体"/>
          <w:b/>
          <w:bCs/>
          <w:color w:val="auto"/>
          <w:sz w:val="22"/>
          <w:highlight w:val="none"/>
          <w:lang w:val="en-US" w:eastAsia="zh-CN"/>
        </w:rPr>
        <w:t>《报价文件》</w:t>
      </w:r>
      <w:r>
        <w:rPr>
          <w:rFonts w:hint="eastAsia" w:ascii="宋体" w:hAnsi="宋体" w:cs="宋体"/>
          <w:b/>
          <w:bCs/>
          <w:color w:val="auto"/>
          <w:sz w:val="22"/>
          <w:highlight w:val="none"/>
          <w:lang w:val="zh-CN"/>
        </w:rPr>
        <w:t>投标文件格式</w:t>
      </w:r>
    </w:p>
    <w:p w14:paraId="0707042C">
      <w:pPr>
        <w:pStyle w:val="2"/>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lang w:val="en-US" w:eastAsia="zh-CN"/>
        </w:rPr>
        <w:t>《报价文件》</w:t>
      </w:r>
      <w:r>
        <w:rPr>
          <w:rFonts w:hint="eastAsia" w:ascii="宋体" w:hAnsi="宋体" w:cs="宋体"/>
          <w:b/>
          <w:bCs/>
          <w:color w:val="auto"/>
          <w:sz w:val="22"/>
          <w:highlight w:val="none"/>
          <w:lang w:val="zh-CN"/>
        </w:rPr>
        <w:t>投标文件</w:t>
      </w:r>
      <w:r>
        <w:rPr>
          <w:rFonts w:hint="eastAsia" w:ascii="宋体" w:hAnsi="宋体" w:cs="宋体"/>
          <w:color w:val="auto"/>
          <w:sz w:val="22"/>
          <w:szCs w:val="22"/>
          <w:highlight w:val="none"/>
        </w:rPr>
        <w:t>封面参考：</w:t>
      </w:r>
    </w:p>
    <w:p w14:paraId="18810678">
      <w:pPr>
        <w:tabs>
          <w:tab w:val="left" w:pos="1069"/>
          <w:tab w:val="left" w:pos="2352"/>
        </w:tabs>
        <w:snapToGrid w:val="0"/>
        <w:spacing w:line="440" w:lineRule="exact"/>
        <w:jc w:val="center"/>
        <w:rPr>
          <w:rFonts w:ascii="宋体" w:hAnsi="宋体" w:cs="宋体"/>
          <w:b/>
          <w:color w:val="auto"/>
          <w:sz w:val="32"/>
          <w:szCs w:val="32"/>
          <w:highlight w:val="none"/>
        </w:rPr>
      </w:pPr>
    </w:p>
    <w:p w14:paraId="0BA47730">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泰顺县包垟乡环卫保洁服务</w:t>
      </w:r>
    </w:p>
    <w:p w14:paraId="7DA90436">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8ACC9D3">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76F1EDA0">
      <w:pPr>
        <w:tabs>
          <w:tab w:val="left" w:pos="1069"/>
          <w:tab w:val="left" w:pos="2352"/>
        </w:tabs>
        <w:snapToGrid w:val="0"/>
        <w:spacing w:line="600" w:lineRule="atLeast"/>
        <w:rPr>
          <w:rFonts w:ascii="宋体" w:hAnsi="宋体" w:cs="宋体"/>
          <w:b/>
          <w:color w:val="auto"/>
          <w:sz w:val="26"/>
          <w:szCs w:val="26"/>
          <w:highlight w:val="none"/>
        </w:rPr>
      </w:pPr>
    </w:p>
    <w:tbl>
      <w:tblPr>
        <w:tblStyle w:val="2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1A0D31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tcPr>
          <w:p w14:paraId="7C2C1D0A">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330329265190010000001-TSCG202606003</w:t>
            </w:r>
          </w:p>
        </w:tc>
      </w:tr>
      <w:tr w14:paraId="555EE9F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E2B1389">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泰顺县包垟乡人民政府</w:t>
            </w:r>
          </w:p>
        </w:tc>
      </w:tr>
      <w:tr w14:paraId="7006EA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D0C3FF1">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569D966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265B86BB">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13FF042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0655928B">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3F5BEA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027A137">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DA4BF18">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4F8DCDED">
      <w:pPr>
        <w:pStyle w:val="8"/>
        <w:tabs>
          <w:tab w:val="left" w:pos="1069"/>
          <w:tab w:val="left" w:pos="2352"/>
        </w:tabs>
        <w:rPr>
          <w:color w:val="auto"/>
          <w:highlight w:val="none"/>
          <w:lang w:val="zh-CN"/>
        </w:rPr>
      </w:pPr>
    </w:p>
    <w:p w14:paraId="43FCCFFE">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5EA4C9B0">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2E7B927F">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596A2EF9">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6B97F3B3">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E20DE83">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6E5C596E">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799BD1C0">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6696C280">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65F2D0EF">
      <w:pPr>
        <w:tabs>
          <w:tab w:val="left" w:pos="1069"/>
          <w:tab w:val="left" w:pos="2352"/>
        </w:tabs>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8EACBAA">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4054D01D">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泰顺县包垟乡环卫保洁服务</w:t>
      </w:r>
    </w:p>
    <w:p w14:paraId="43145B56">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330329265190010000001-TSCG202606003</w:t>
      </w:r>
    </w:p>
    <w:p w14:paraId="2B55B763">
      <w:pPr>
        <w:tabs>
          <w:tab w:val="left" w:pos="1069"/>
          <w:tab w:val="left" w:pos="2352"/>
        </w:tabs>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225"/>
        <w:gridCol w:w="1540"/>
        <w:gridCol w:w="1225"/>
      </w:tblGrid>
      <w:tr w14:paraId="4E96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5BDAC60E">
            <w:pPr>
              <w:pStyle w:val="12"/>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24" w:type="dxa"/>
            <w:tcBorders>
              <w:right w:val="single" w:color="000000" w:sz="4" w:space="0"/>
            </w:tcBorders>
            <w:vAlign w:val="center"/>
          </w:tcPr>
          <w:p w14:paraId="43001672">
            <w:pPr>
              <w:pStyle w:val="12"/>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225" w:type="dxa"/>
            <w:tcBorders>
              <w:left w:val="single" w:color="000000" w:sz="4" w:space="0"/>
            </w:tcBorders>
            <w:vAlign w:val="center"/>
          </w:tcPr>
          <w:p w14:paraId="46966233">
            <w:pPr>
              <w:pStyle w:val="12"/>
              <w:tabs>
                <w:tab w:val="left" w:pos="1069"/>
                <w:tab w:val="left" w:pos="2352"/>
              </w:tabs>
              <w:jc w:val="center"/>
              <w:rPr>
                <w:rFonts w:hAnsi="宋体" w:cs="宋体"/>
                <w:color w:val="auto"/>
                <w:sz w:val="22"/>
                <w:highlight w:val="none"/>
              </w:rPr>
            </w:pPr>
            <w:r>
              <w:rPr>
                <w:rFonts w:hint="eastAsia" w:hAnsi="宋体" w:cs="宋体"/>
                <w:color w:val="auto"/>
                <w:sz w:val="22"/>
                <w:highlight w:val="none"/>
              </w:rPr>
              <w:t>投标报价</w:t>
            </w:r>
          </w:p>
        </w:tc>
        <w:tc>
          <w:tcPr>
            <w:tcW w:w="1540" w:type="dxa"/>
            <w:vAlign w:val="center"/>
          </w:tcPr>
          <w:p w14:paraId="11F09284">
            <w:pPr>
              <w:pStyle w:val="12"/>
              <w:tabs>
                <w:tab w:val="left" w:pos="1069"/>
                <w:tab w:val="left" w:pos="2352"/>
              </w:tabs>
              <w:jc w:val="center"/>
              <w:rPr>
                <w:rFonts w:hAnsi="宋体" w:cs="宋体"/>
                <w:b/>
                <w:bCs/>
                <w:color w:val="auto"/>
                <w:kern w:val="2"/>
                <w:sz w:val="22"/>
                <w:szCs w:val="22"/>
                <w:highlight w:val="none"/>
              </w:rPr>
            </w:pPr>
            <w:r>
              <w:rPr>
                <w:rFonts w:hint="eastAsia" w:hAnsi="宋体" w:cs="宋体"/>
                <w:color w:val="auto"/>
                <w:sz w:val="22"/>
                <w:highlight w:val="none"/>
              </w:rPr>
              <w:t>项目负责人</w:t>
            </w:r>
          </w:p>
        </w:tc>
        <w:tc>
          <w:tcPr>
            <w:tcW w:w="1225" w:type="dxa"/>
            <w:vAlign w:val="center"/>
          </w:tcPr>
          <w:p w14:paraId="42F53D68">
            <w:pPr>
              <w:pStyle w:val="12"/>
              <w:tabs>
                <w:tab w:val="left" w:pos="1069"/>
                <w:tab w:val="left" w:pos="2352"/>
              </w:tabs>
              <w:jc w:val="center"/>
              <w:rPr>
                <w:rFonts w:hAnsi="宋体" w:cs="宋体"/>
                <w:color w:val="auto"/>
                <w:sz w:val="22"/>
                <w:highlight w:val="none"/>
              </w:rPr>
            </w:pPr>
            <w:r>
              <w:rPr>
                <w:rFonts w:hint="eastAsia" w:hAnsi="宋体" w:cs="宋体"/>
                <w:color w:val="auto"/>
                <w:kern w:val="2"/>
                <w:sz w:val="22"/>
                <w:szCs w:val="22"/>
                <w:highlight w:val="none"/>
              </w:rPr>
              <w:t>最高限价</w:t>
            </w:r>
          </w:p>
        </w:tc>
      </w:tr>
      <w:tr w14:paraId="1D36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tcBorders>
              <w:top w:val="single" w:color="auto" w:sz="4" w:space="0"/>
              <w:left w:val="single" w:color="auto" w:sz="4" w:space="0"/>
              <w:right w:val="single" w:color="auto" w:sz="4" w:space="0"/>
            </w:tcBorders>
            <w:vAlign w:val="center"/>
          </w:tcPr>
          <w:p w14:paraId="146A496E">
            <w:pPr>
              <w:pStyle w:val="12"/>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一</w:t>
            </w:r>
          </w:p>
        </w:tc>
        <w:tc>
          <w:tcPr>
            <w:tcW w:w="1724" w:type="dxa"/>
            <w:tcBorders>
              <w:right w:val="single" w:color="000000" w:sz="4" w:space="0"/>
            </w:tcBorders>
            <w:vAlign w:val="center"/>
          </w:tcPr>
          <w:p w14:paraId="6F86D208">
            <w:pPr>
              <w:pStyle w:val="12"/>
              <w:tabs>
                <w:tab w:val="left" w:pos="1069"/>
                <w:tab w:val="left" w:pos="2352"/>
              </w:tabs>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泰顺县包垟乡环卫保洁服务</w:t>
            </w:r>
          </w:p>
        </w:tc>
        <w:tc>
          <w:tcPr>
            <w:tcW w:w="4225" w:type="dxa"/>
            <w:tcBorders>
              <w:left w:val="single" w:color="000000" w:sz="4" w:space="0"/>
            </w:tcBorders>
            <w:vAlign w:val="center"/>
          </w:tcPr>
          <w:p w14:paraId="06110EC1">
            <w:pPr>
              <w:pStyle w:val="12"/>
              <w:tabs>
                <w:tab w:val="left" w:pos="1069"/>
                <w:tab w:val="left" w:pos="2352"/>
              </w:tabs>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33F82D3E">
            <w:pPr>
              <w:pStyle w:val="12"/>
              <w:tabs>
                <w:tab w:val="left" w:pos="1069"/>
                <w:tab w:val="left" w:pos="2352"/>
              </w:tabs>
              <w:ind w:firstLine="892" w:firstLineChars="400"/>
              <w:rPr>
                <w:rFonts w:hAnsi="宋体" w:cs="宋体"/>
                <w:color w:val="auto"/>
                <w:sz w:val="22"/>
                <w:highlight w:val="none"/>
                <w:u w:val="single"/>
              </w:rPr>
            </w:pPr>
            <w:r>
              <w:rPr>
                <w:rFonts w:hint="eastAsia" w:hAnsi="宋体" w:cs="宋体"/>
                <w:color w:val="auto"/>
                <w:kern w:val="2"/>
                <w:sz w:val="22"/>
                <w:szCs w:val="22"/>
                <w:highlight w:val="none"/>
                <w:u w:val="single"/>
              </w:rPr>
              <w:t xml:space="preserve">小写：                </w:t>
            </w:r>
          </w:p>
        </w:tc>
        <w:tc>
          <w:tcPr>
            <w:tcW w:w="1540" w:type="dxa"/>
            <w:tcBorders>
              <w:top w:val="single" w:color="auto" w:sz="4" w:space="0"/>
              <w:left w:val="single" w:color="auto" w:sz="4" w:space="0"/>
              <w:right w:val="single" w:color="auto" w:sz="4" w:space="0"/>
            </w:tcBorders>
            <w:vAlign w:val="center"/>
          </w:tcPr>
          <w:p w14:paraId="7F417D7C">
            <w:pPr>
              <w:pStyle w:val="12"/>
              <w:tabs>
                <w:tab w:val="left" w:pos="1069"/>
                <w:tab w:val="left" w:pos="2352"/>
              </w:tabs>
              <w:spacing w:line="440" w:lineRule="atLeast"/>
              <w:rPr>
                <w:rFonts w:hAnsi="宋体" w:cs="宋体"/>
                <w:color w:val="auto"/>
                <w:kern w:val="2"/>
                <w:sz w:val="22"/>
                <w:szCs w:val="22"/>
                <w:highlight w:val="none"/>
                <w:u w:val="single"/>
              </w:rPr>
            </w:pPr>
          </w:p>
        </w:tc>
        <w:tc>
          <w:tcPr>
            <w:tcW w:w="1225" w:type="dxa"/>
            <w:tcBorders>
              <w:top w:val="single" w:color="auto" w:sz="4" w:space="0"/>
              <w:left w:val="single" w:color="auto" w:sz="4" w:space="0"/>
              <w:right w:val="single" w:color="auto" w:sz="4" w:space="0"/>
            </w:tcBorders>
            <w:vAlign w:val="center"/>
          </w:tcPr>
          <w:p w14:paraId="0F5DD683">
            <w:pPr>
              <w:pStyle w:val="12"/>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lang w:val="en-US" w:eastAsia="zh-CN"/>
              </w:rPr>
              <w:t>644000</w:t>
            </w:r>
            <w:r>
              <w:rPr>
                <w:rFonts w:hint="eastAsia" w:hAnsi="宋体" w:cs="宋体"/>
                <w:color w:val="auto"/>
                <w:kern w:val="2"/>
                <w:sz w:val="22"/>
                <w:szCs w:val="22"/>
                <w:highlight w:val="none"/>
              </w:rPr>
              <w:t>元</w:t>
            </w:r>
          </w:p>
        </w:tc>
      </w:tr>
    </w:tbl>
    <w:p w14:paraId="1593213B">
      <w:pPr>
        <w:pStyle w:val="12"/>
        <w:tabs>
          <w:tab w:val="left" w:pos="1069"/>
          <w:tab w:val="left" w:pos="2352"/>
        </w:tabs>
        <w:spacing w:line="440" w:lineRule="atLeast"/>
        <w:rPr>
          <w:rFonts w:hAnsi="宋体" w:cs="宋体"/>
          <w:color w:val="auto"/>
          <w:sz w:val="22"/>
          <w:highlight w:val="none"/>
        </w:rPr>
      </w:pPr>
    </w:p>
    <w:p w14:paraId="43769CB7">
      <w:pPr>
        <w:tabs>
          <w:tab w:val="left" w:pos="1069"/>
          <w:tab w:val="left" w:pos="2352"/>
        </w:tabs>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lang w:eastAsia="zh-CN"/>
        </w:rPr>
        <w:t>1.</w:t>
      </w:r>
      <w:r>
        <w:rPr>
          <w:rFonts w:hint="eastAsia" w:ascii="宋体" w:hAnsi="宋体" w:cs="宋体"/>
          <w:color w:val="auto"/>
          <w:sz w:val="22"/>
          <w:highlight w:val="none"/>
        </w:rPr>
        <w:t>▲</w:t>
      </w:r>
      <w:r>
        <w:rPr>
          <w:rFonts w:hint="eastAsia" w:ascii="宋体" w:hAnsi="宋体" w:cs="宋体"/>
          <w:b/>
          <w:bCs/>
          <w:color w:val="auto"/>
          <w:sz w:val="22"/>
          <w:highlight w:val="none"/>
          <w:u w:val="single"/>
        </w:rPr>
        <w:t>开标（报价）一览表中投标价为符合竞争性磋商文件要求的总价</w:t>
      </w:r>
      <w:r>
        <w:rPr>
          <w:rFonts w:hint="eastAsia" w:ascii="宋体" w:hAnsi="宋体" w:cs="宋体"/>
          <w:color w:val="auto"/>
          <w:sz w:val="22"/>
          <w:highlight w:val="none"/>
        </w:rPr>
        <w:t>。</w:t>
      </w:r>
    </w:p>
    <w:p w14:paraId="6ECFECAB">
      <w:pPr>
        <w:tabs>
          <w:tab w:val="left" w:pos="1069"/>
          <w:tab w:val="left" w:pos="2352"/>
        </w:tabs>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不提供此表格的将视为没有实质性响应竞争性磋商文件</w:t>
      </w:r>
      <w:r>
        <w:rPr>
          <w:rFonts w:hint="eastAsia" w:ascii="宋体" w:hAnsi="宋体" w:cs="宋体"/>
          <w:color w:val="auto"/>
          <w:sz w:val="22"/>
          <w:highlight w:val="none"/>
        </w:rPr>
        <w:t>。</w:t>
      </w:r>
    </w:p>
    <w:p w14:paraId="4365FB49">
      <w:pPr>
        <w:pStyle w:val="12"/>
        <w:tabs>
          <w:tab w:val="left" w:pos="1069"/>
          <w:tab w:val="left" w:pos="2352"/>
        </w:tabs>
        <w:spacing w:line="440" w:lineRule="atLeast"/>
        <w:rPr>
          <w:rFonts w:hAnsi="宋体" w:cs="宋体"/>
          <w:b/>
          <w:bCs/>
          <w:color w:val="auto"/>
          <w:sz w:val="22"/>
          <w:highlight w:val="none"/>
        </w:rPr>
      </w:pPr>
    </w:p>
    <w:p w14:paraId="0B20EF0F">
      <w:pPr>
        <w:pStyle w:val="12"/>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49A2F13C">
      <w:pPr>
        <w:pStyle w:val="12"/>
        <w:tabs>
          <w:tab w:val="left" w:pos="1069"/>
          <w:tab w:val="left" w:pos="2352"/>
        </w:tabs>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38DB0286">
      <w:pPr>
        <w:pStyle w:val="12"/>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日期：</w:t>
      </w:r>
    </w:p>
    <w:p w14:paraId="4B85CAFA">
      <w:pPr>
        <w:tabs>
          <w:tab w:val="left" w:pos="1069"/>
          <w:tab w:val="left" w:pos="2352"/>
        </w:tabs>
        <w:spacing w:line="360" w:lineRule="exact"/>
        <w:jc w:val="left"/>
        <w:rPr>
          <w:rFonts w:ascii="宋体" w:hAnsi="宋体" w:cs="宋体"/>
          <w:color w:val="auto"/>
          <w:sz w:val="22"/>
          <w:highlight w:val="none"/>
          <w:lang w:val="zh-CN"/>
        </w:rPr>
      </w:pPr>
      <w:bookmarkStart w:id="88" w:name="_Toc31481_WPSOffice_Level2"/>
    </w:p>
    <w:p w14:paraId="3479913B">
      <w:pPr>
        <w:pStyle w:val="3"/>
        <w:tabs>
          <w:tab w:val="left" w:pos="1069"/>
          <w:tab w:val="left" w:pos="2352"/>
        </w:tabs>
        <w:rPr>
          <w:rFonts w:ascii="宋体" w:hAnsi="宋体" w:cs="宋体"/>
          <w:color w:val="auto"/>
          <w:sz w:val="22"/>
          <w:highlight w:val="none"/>
          <w:lang w:val="zh-CN"/>
        </w:rPr>
      </w:pPr>
    </w:p>
    <w:p w14:paraId="24CF00B4">
      <w:pPr>
        <w:pStyle w:val="3"/>
        <w:tabs>
          <w:tab w:val="left" w:pos="1069"/>
          <w:tab w:val="left" w:pos="2352"/>
        </w:tabs>
        <w:rPr>
          <w:rFonts w:ascii="宋体" w:hAnsi="宋体" w:cs="宋体"/>
          <w:color w:val="auto"/>
          <w:sz w:val="22"/>
          <w:highlight w:val="none"/>
          <w:lang w:val="zh-CN"/>
        </w:rPr>
      </w:pPr>
    </w:p>
    <w:p w14:paraId="7CBA6DB7">
      <w:pPr>
        <w:pStyle w:val="3"/>
        <w:tabs>
          <w:tab w:val="left" w:pos="1069"/>
          <w:tab w:val="left" w:pos="2352"/>
        </w:tabs>
        <w:rPr>
          <w:rFonts w:ascii="宋体" w:hAnsi="宋体" w:cs="宋体"/>
          <w:color w:val="auto"/>
          <w:sz w:val="22"/>
          <w:highlight w:val="none"/>
          <w:lang w:val="zh-CN"/>
        </w:rPr>
      </w:pPr>
    </w:p>
    <w:bookmarkEnd w:id="88"/>
    <w:p w14:paraId="431E5086">
      <w:pPr>
        <w:pStyle w:val="2"/>
        <w:tabs>
          <w:tab w:val="left" w:pos="2352"/>
        </w:tabs>
        <w:rPr>
          <w:rFonts w:hint="eastAsia" w:ascii="宋体"/>
          <w:b/>
          <w:bCs/>
          <w:color w:val="auto"/>
          <w:sz w:val="32"/>
          <w:szCs w:val="32"/>
          <w:highlight w:val="none"/>
        </w:rPr>
      </w:pPr>
    </w:p>
    <w:p w14:paraId="351FBF0D">
      <w:pPr>
        <w:pStyle w:val="21"/>
        <w:rPr>
          <w:rFonts w:hint="eastAsia" w:ascii="宋体"/>
          <w:b/>
          <w:bCs/>
          <w:color w:val="auto"/>
          <w:sz w:val="32"/>
          <w:szCs w:val="32"/>
          <w:highlight w:val="none"/>
        </w:rPr>
      </w:pPr>
    </w:p>
    <w:p w14:paraId="5189BE1D">
      <w:pPr>
        <w:pStyle w:val="2"/>
        <w:tabs>
          <w:tab w:val="left" w:pos="2352"/>
        </w:tabs>
        <w:rPr>
          <w:rFonts w:hint="eastAsia" w:ascii="宋体"/>
          <w:b/>
          <w:bCs/>
          <w:color w:val="auto"/>
          <w:sz w:val="32"/>
          <w:szCs w:val="32"/>
          <w:highlight w:val="none"/>
        </w:rPr>
      </w:pPr>
    </w:p>
    <w:p w14:paraId="360A4621">
      <w:pPr>
        <w:pStyle w:val="3"/>
        <w:rPr>
          <w:rFonts w:hint="eastAsia"/>
          <w:color w:val="auto"/>
          <w:highlight w:val="none"/>
        </w:rPr>
      </w:pPr>
    </w:p>
    <w:p w14:paraId="1B3FC257">
      <w:pPr>
        <w:pStyle w:val="2"/>
        <w:tabs>
          <w:tab w:val="left" w:pos="2352"/>
        </w:tabs>
        <w:rPr>
          <w:rFonts w:ascii="宋体"/>
          <w:b/>
          <w:bCs/>
          <w:color w:val="auto"/>
          <w:sz w:val="32"/>
          <w:szCs w:val="32"/>
          <w:highlight w:val="none"/>
        </w:rPr>
      </w:pPr>
      <w:r>
        <w:rPr>
          <w:rFonts w:hint="eastAsia" w:ascii="宋体"/>
          <w:b/>
          <w:bCs/>
          <w:color w:val="auto"/>
          <w:sz w:val="32"/>
          <w:szCs w:val="32"/>
          <w:highlight w:val="none"/>
        </w:rPr>
        <w:t>附件二</w:t>
      </w:r>
    </w:p>
    <w:p w14:paraId="5BCB15DA">
      <w:pPr>
        <w:tabs>
          <w:tab w:val="left" w:pos="2352"/>
        </w:tabs>
        <w:autoSpaceDE w:val="0"/>
        <w:autoSpaceDN w:val="0"/>
        <w:adjustRightInd w:val="0"/>
        <w:spacing w:line="400" w:lineRule="exact"/>
        <w:jc w:val="center"/>
        <w:rPr>
          <w:rFonts w:hAnsi="宋体"/>
          <w:color w:val="auto"/>
          <w:sz w:val="22"/>
          <w:highlight w:val="none"/>
        </w:rPr>
      </w:pPr>
      <w:r>
        <w:rPr>
          <w:rFonts w:hint="eastAsia" w:ascii="宋体"/>
          <w:b/>
          <w:bCs/>
          <w:color w:val="auto"/>
          <w:sz w:val="32"/>
          <w:szCs w:val="32"/>
          <w:highlight w:val="none"/>
        </w:rPr>
        <w:t>投标分项报价表</w:t>
      </w:r>
    </w:p>
    <w:p w14:paraId="3AB666CC">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泰顺县包垟乡环卫保洁服务</w:t>
      </w:r>
    </w:p>
    <w:p w14:paraId="2EB73067">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330329265190010000001-TSCG202606003</w:t>
      </w:r>
    </w:p>
    <w:p w14:paraId="1C6B1DBF">
      <w:pPr>
        <w:tabs>
          <w:tab w:val="left" w:pos="2352"/>
        </w:tabs>
        <w:autoSpaceDE w:val="0"/>
        <w:autoSpaceDN w:val="0"/>
        <w:adjustRightInd w:val="0"/>
        <w:spacing w:line="400" w:lineRule="exact"/>
        <w:rPr>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6"/>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668"/>
        <w:gridCol w:w="988"/>
        <w:gridCol w:w="1012"/>
        <w:gridCol w:w="1336"/>
        <w:gridCol w:w="1503"/>
        <w:gridCol w:w="1560"/>
      </w:tblGrid>
      <w:tr w14:paraId="42E2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vAlign w:val="center"/>
          </w:tcPr>
          <w:p w14:paraId="71CD3722">
            <w:pPr>
              <w:tabs>
                <w:tab w:val="left" w:pos="2352"/>
              </w:tabs>
              <w:ind w:right="-11"/>
              <w:jc w:val="center"/>
              <w:rPr>
                <w:rFonts w:ascii="宋体" w:cs="Arial"/>
                <w:bCs/>
                <w:color w:val="auto"/>
                <w:sz w:val="22"/>
                <w:highlight w:val="none"/>
              </w:rPr>
            </w:pPr>
            <w:r>
              <w:rPr>
                <w:rFonts w:hint="eastAsia" w:ascii="宋体" w:cs="Arial"/>
                <w:bCs/>
                <w:color w:val="auto"/>
                <w:sz w:val="22"/>
                <w:highlight w:val="none"/>
              </w:rPr>
              <w:t>序号</w:t>
            </w:r>
          </w:p>
        </w:tc>
        <w:tc>
          <w:tcPr>
            <w:tcW w:w="2668" w:type="dxa"/>
            <w:vAlign w:val="center"/>
          </w:tcPr>
          <w:p w14:paraId="097F90F6">
            <w:pPr>
              <w:tabs>
                <w:tab w:val="left" w:pos="2352"/>
              </w:tabs>
              <w:ind w:right="-11"/>
              <w:jc w:val="center"/>
              <w:rPr>
                <w:rFonts w:ascii="宋体" w:cs="Arial"/>
                <w:bCs/>
                <w:color w:val="auto"/>
                <w:sz w:val="22"/>
                <w:highlight w:val="none"/>
              </w:rPr>
            </w:pPr>
            <w:r>
              <w:rPr>
                <w:rFonts w:hint="eastAsia" w:ascii="宋体" w:cs="Arial"/>
                <w:bCs/>
                <w:color w:val="auto"/>
                <w:sz w:val="22"/>
                <w:highlight w:val="none"/>
              </w:rPr>
              <w:t>报价项</w:t>
            </w:r>
          </w:p>
        </w:tc>
        <w:tc>
          <w:tcPr>
            <w:tcW w:w="988" w:type="dxa"/>
            <w:vAlign w:val="center"/>
          </w:tcPr>
          <w:p w14:paraId="2C6FCC7C">
            <w:pPr>
              <w:tabs>
                <w:tab w:val="left" w:pos="2352"/>
              </w:tabs>
              <w:ind w:right="-11"/>
              <w:jc w:val="center"/>
              <w:rPr>
                <w:rFonts w:ascii="宋体" w:cs="Arial"/>
                <w:bCs/>
                <w:color w:val="auto"/>
                <w:sz w:val="22"/>
                <w:highlight w:val="none"/>
              </w:rPr>
            </w:pPr>
            <w:r>
              <w:rPr>
                <w:rFonts w:hint="eastAsia" w:ascii="宋体" w:cs="Arial"/>
                <w:bCs/>
                <w:color w:val="auto"/>
                <w:sz w:val="22"/>
                <w:highlight w:val="none"/>
              </w:rPr>
              <w:t>单位</w:t>
            </w:r>
          </w:p>
        </w:tc>
        <w:tc>
          <w:tcPr>
            <w:tcW w:w="1012" w:type="dxa"/>
            <w:vAlign w:val="center"/>
          </w:tcPr>
          <w:p w14:paraId="62FC8F38">
            <w:pPr>
              <w:tabs>
                <w:tab w:val="left" w:pos="2352"/>
              </w:tabs>
              <w:ind w:right="-11"/>
              <w:jc w:val="center"/>
              <w:rPr>
                <w:rFonts w:ascii="宋体" w:cs="Arial"/>
                <w:bCs/>
                <w:color w:val="auto"/>
                <w:sz w:val="22"/>
                <w:highlight w:val="none"/>
              </w:rPr>
            </w:pPr>
            <w:r>
              <w:rPr>
                <w:rFonts w:hint="eastAsia" w:ascii="宋体" w:cs="Arial"/>
                <w:bCs/>
                <w:color w:val="auto"/>
                <w:sz w:val="22"/>
                <w:highlight w:val="none"/>
              </w:rPr>
              <w:t>数量</w:t>
            </w:r>
          </w:p>
        </w:tc>
        <w:tc>
          <w:tcPr>
            <w:tcW w:w="1336" w:type="dxa"/>
            <w:vAlign w:val="center"/>
          </w:tcPr>
          <w:p w14:paraId="67AE93BE">
            <w:pPr>
              <w:tabs>
                <w:tab w:val="left" w:pos="2352"/>
              </w:tabs>
              <w:ind w:right="-11"/>
              <w:jc w:val="center"/>
              <w:rPr>
                <w:rFonts w:ascii="宋体" w:cs="Arial"/>
                <w:color w:val="auto"/>
                <w:sz w:val="22"/>
                <w:highlight w:val="none"/>
              </w:rPr>
            </w:pPr>
            <w:r>
              <w:rPr>
                <w:rFonts w:hint="eastAsia" w:ascii="宋体" w:cs="Arial"/>
                <w:bCs/>
                <w:color w:val="auto"/>
                <w:sz w:val="22"/>
                <w:highlight w:val="none"/>
              </w:rPr>
              <w:t>单价</w:t>
            </w:r>
          </w:p>
        </w:tc>
        <w:tc>
          <w:tcPr>
            <w:tcW w:w="1503" w:type="dxa"/>
            <w:vAlign w:val="center"/>
          </w:tcPr>
          <w:p w14:paraId="44EABFA1">
            <w:pPr>
              <w:tabs>
                <w:tab w:val="left" w:pos="2352"/>
              </w:tabs>
              <w:ind w:right="-11"/>
              <w:jc w:val="center"/>
              <w:rPr>
                <w:rFonts w:ascii="宋体" w:cs="Arial"/>
                <w:color w:val="auto"/>
                <w:sz w:val="22"/>
                <w:highlight w:val="none"/>
              </w:rPr>
            </w:pPr>
            <w:r>
              <w:rPr>
                <w:rFonts w:hint="eastAsia" w:ascii="宋体" w:cs="Arial"/>
                <w:bCs/>
                <w:color w:val="auto"/>
                <w:sz w:val="22"/>
                <w:highlight w:val="none"/>
              </w:rPr>
              <w:t>总价</w:t>
            </w:r>
          </w:p>
        </w:tc>
        <w:tc>
          <w:tcPr>
            <w:tcW w:w="1560" w:type="dxa"/>
            <w:vAlign w:val="center"/>
          </w:tcPr>
          <w:p w14:paraId="3755358D">
            <w:pPr>
              <w:tabs>
                <w:tab w:val="left" w:pos="2352"/>
              </w:tabs>
              <w:ind w:right="-11"/>
              <w:jc w:val="center"/>
              <w:rPr>
                <w:rFonts w:ascii="宋体" w:cs="Arial"/>
                <w:bCs/>
                <w:color w:val="auto"/>
                <w:sz w:val="22"/>
                <w:highlight w:val="none"/>
              </w:rPr>
            </w:pPr>
            <w:r>
              <w:rPr>
                <w:rFonts w:hint="eastAsia" w:ascii="宋体" w:cs="Arial"/>
                <w:bCs/>
                <w:color w:val="auto"/>
                <w:sz w:val="22"/>
                <w:highlight w:val="none"/>
              </w:rPr>
              <w:t>备注</w:t>
            </w:r>
          </w:p>
        </w:tc>
      </w:tr>
      <w:tr w14:paraId="16C1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0302C4C">
            <w:pPr>
              <w:tabs>
                <w:tab w:val="left" w:pos="2352"/>
              </w:tabs>
              <w:ind w:right="-11"/>
              <w:jc w:val="center"/>
              <w:rPr>
                <w:rFonts w:ascii="宋体" w:cs="Arial"/>
                <w:color w:val="auto"/>
                <w:sz w:val="22"/>
                <w:highlight w:val="none"/>
              </w:rPr>
            </w:pPr>
            <w:r>
              <w:rPr>
                <w:rFonts w:hint="eastAsia" w:ascii="宋体" w:cs="Arial"/>
                <w:color w:val="auto"/>
                <w:sz w:val="22"/>
                <w:highlight w:val="none"/>
              </w:rPr>
              <w:t>1</w:t>
            </w:r>
          </w:p>
        </w:tc>
        <w:tc>
          <w:tcPr>
            <w:tcW w:w="2668" w:type="dxa"/>
            <w:tcBorders>
              <w:top w:val="single" w:color="auto" w:sz="4" w:space="0"/>
              <w:left w:val="single" w:color="auto" w:sz="4" w:space="0"/>
              <w:right w:val="single" w:color="auto" w:sz="4" w:space="0"/>
            </w:tcBorders>
            <w:vAlign w:val="center"/>
          </w:tcPr>
          <w:p w14:paraId="22D58ADB">
            <w:pPr>
              <w:tabs>
                <w:tab w:val="left" w:pos="2352"/>
              </w:tabs>
              <w:rPr>
                <w:rFonts w:ascii="宋体" w:cs="Arial"/>
                <w:color w:val="auto"/>
                <w:sz w:val="22"/>
                <w:highlight w:val="none"/>
              </w:rPr>
            </w:pPr>
          </w:p>
        </w:tc>
        <w:tc>
          <w:tcPr>
            <w:tcW w:w="988" w:type="dxa"/>
            <w:tcBorders>
              <w:top w:val="single" w:color="auto" w:sz="4" w:space="0"/>
              <w:left w:val="single" w:color="auto" w:sz="4" w:space="0"/>
              <w:right w:val="single" w:color="auto" w:sz="4" w:space="0"/>
            </w:tcBorders>
            <w:vAlign w:val="center"/>
          </w:tcPr>
          <w:p w14:paraId="1AFB4F22">
            <w:pPr>
              <w:tabs>
                <w:tab w:val="left" w:pos="2352"/>
              </w:tabs>
              <w:ind w:right="-11"/>
              <w:jc w:val="center"/>
              <w:rPr>
                <w:rFonts w:ascii="宋体" w:cs="Arial"/>
                <w:color w:val="auto"/>
                <w:sz w:val="22"/>
                <w:highlight w:val="none"/>
              </w:rPr>
            </w:pPr>
          </w:p>
        </w:tc>
        <w:tc>
          <w:tcPr>
            <w:tcW w:w="1012" w:type="dxa"/>
            <w:tcBorders>
              <w:top w:val="single" w:color="auto" w:sz="4" w:space="0"/>
              <w:left w:val="single" w:color="auto" w:sz="4" w:space="0"/>
              <w:right w:val="single" w:color="auto" w:sz="4" w:space="0"/>
            </w:tcBorders>
            <w:vAlign w:val="center"/>
          </w:tcPr>
          <w:p w14:paraId="7648F176">
            <w:pPr>
              <w:tabs>
                <w:tab w:val="left" w:pos="2352"/>
              </w:tabs>
              <w:jc w:val="center"/>
              <w:rPr>
                <w:rFonts w:ascii="宋体" w:cs="Arial"/>
                <w:color w:val="auto"/>
                <w:sz w:val="22"/>
                <w:highlight w:val="none"/>
              </w:rPr>
            </w:pPr>
          </w:p>
        </w:tc>
        <w:tc>
          <w:tcPr>
            <w:tcW w:w="1336" w:type="dxa"/>
            <w:tcBorders>
              <w:top w:val="single" w:color="auto" w:sz="4" w:space="0"/>
              <w:left w:val="single" w:color="auto" w:sz="4" w:space="0"/>
              <w:right w:val="single" w:color="auto" w:sz="4" w:space="0"/>
            </w:tcBorders>
            <w:vAlign w:val="center"/>
          </w:tcPr>
          <w:p w14:paraId="4079BB45">
            <w:pPr>
              <w:tabs>
                <w:tab w:val="left" w:pos="2352"/>
              </w:tabs>
              <w:ind w:right="-11"/>
              <w:jc w:val="center"/>
              <w:rPr>
                <w:rFonts w:ascii="宋体" w:cs="Arial"/>
                <w:color w:val="auto"/>
                <w:sz w:val="22"/>
                <w:highlight w:val="none"/>
              </w:rPr>
            </w:pPr>
          </w:p>
        </w:tc>
        <w:tc>
          <w:tcPr>
            <w:tcW w:w="1503" w:type="dxa"/>
            <w:tcBorders>
              <w:top w:val="single" w:color="auto" w:sz="4" w:space="0"/>
              <w:left w:val="single" w:color="auto" w:sz="4" w:space="0"/>
              <w:right w:val="single" w:color="auto" w:sz="4" w:space="0"/>
            </w:tcBorders>
            <w:vAlign w:val="center"/>
          </w:tcPr>
          <w:p w14:paraId="26C5F5A6">
            <w:pPr>
              <w:tabs>
                <w:tab w:val="left" w:pos="2352"/>
              </w:tabs>
              <w:ind w:right="-11"/>
              <w:jc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77F05CAA">
            <w:pPr>
              <w:tabs>
                <w:tab w:val="left" w:pos="2352"/>
              </w:tabs>
              <w:ind w:right="-11"/>
              <w:jc w:val="center"/>
              <w:rPr>
                <w:rFonts w:ascii="宋体" w:cs="Arial"/>
                <w:color w:val="auto"/>
                <w:sz w:val="22"/>
                <w:highlight w:val="none"/>
              </w:rPr>
            </w:pPr>
          </w:p>
        </w:tc>
      </w:tr>
      <w:tr w14:paraId="2333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3E6B94">
            <w:pPr>
              <w:tabs>
                <w:tab w:val="left" w:pos="2352"/>
              </w:tabs>
              <w:ind w:right="-11"/>
              <w:jc w:val="center"/>
              <w:rPr>
                <w:rFonts w:ascii="宋体" w:cs="Arial"/>
                <w:color w:val="auto"/>
                <w:sz w:val="22"/>
                <w:highlight w:val="none"/>
              </w:rPr>
            </w:pPr>
            <w:r>
              <w:rPr>
                <w:rFonts w:hint="eastAsia" w:ascii="宋体" w:cs="Arial"/>
                <w:color w:val="auto"/>
                <w:sz w:val="22"/>
                <w:highlight w:val="none"/>
              </w:rPr>
              <w:t>2</w:t>
            </w:r>
          </w:p>
        </w:tc>
        <w:tc>
          <w:tcPr>
            <w:tcW w:w="2668" w:type="dxa"/>
            <w:tcBorders>
              <w:top w:val="single" w:color="auto" w:sz="4" w:space="0"/>
              <w:left w:val="single" w:color="auto" w:sz="4" w:space="0"/>
              <w:right w:val="single" w:color="auto" w:sz="4" w:space="0"/>
            </w:tcBorders>
            <w:vAlign w:val="center"/>
          </w:tcPr>
          <w:p w14:paraId="36E33B48">
            <w:pPr>
              <w:tabs>
                <w:tab w:val="left" w:pos="2352"/>
              </w:tabs>
              <w:rPr>
                <w:rFonts w:ascii="宋体" w:cs="Arial"/>
                <w:color w:val="auto"/>
                <w:sz w:val="22"/>
                <w:highlight w:val="none"/>
              </w:rPr>
            </w:pPr>
          </w:p>
        </w:tc>
        <w:tc>
          <w:tcPr>
            <w:tcW w:w="988" w:type="dxa"/>
            <w:tcBorders>
              <w:top w:val="single" w:color="auto" w:sz="4" w:space="0"/>
              <w:left w:val="single" w:color="auto" w:sz="4" w:space="0"/>
              <w:right w:val="single" w:color="auto" w:sz="4" w:space="0"/>
            </w:tcBorders>
            <w:vAlign w:val="center"/>
          </w:tcPr>
          <w:p w14:paraId="11949BF6">
            <w:pPr>
              <w:tabs>
                <w:tab w:val="left" w:pos="2352"/>
              </w:tabs>
              <w:ind w:right="-11"/>
              <w:jc w:val="center"/>
              <w:rPr>
                <w:rFonts w:ascii="宋体" w:cs="Arial"/>
                <w:color w:val="auto"/>
                <w:sz w:val="22"/>
                <w:highlight w:val="none"/>
              </w:rPr>
            </w:pPr>
          </w:p>
        </w:tc>
        <w:tc>
          <w:tcPr>
            <w:tcW w:w="1012" w:type="dxa"/>
            <w:tcBorders>
              <w:top w:val="single" w:color="auto" w:sz="4" w:space="0"/>
              <w:left w:val="single" w:color="auto" w:sz="4" w:space="0"/>
              <w:right w:val="single" w:color="auto" w:sz="4" w:space="0"/>
            </w:tcBorders>
            <w:vAlign w:val="center"/>
          </w:tcPr>
          <w:p w14:paraId="4DB64ED3">
            <w:pPr>
              <w:tabs>
                <w:tab w:val="left" w:pos="2352"/>
              </w:tabs>
              <w:jc w:val="center"/>
              <w:rPr>
                <w:rFonts w:ascii="宋体" w:cs="Arial"/>
                <w:color w:val="auto"/>
                <w:sz w:val="22"/>
                <w:highlight w:val="none"/>
              </w:rPr>
            </w:pPr>
          </w:p>
        </w:tc>
        <w:tc>
          <w:tcPr>
            <w:tcW w:w="1336" w:type="dxa"/>
            <w:tcBorders>
              <w:top w:val="single" w:color="auto" w:sz="4" w:space="0"/>
              <w:left w:val="single" w:color="auto" w:sz="4" w:space="0"/>
              <w:right w:val="single" w:color="auto" w:sz="4" w:space="0"/>
            </w:tcBorders>
            <w:vAlign w:val="center"/>
          </w:tcPr>
          <w:p w14:paraId="1E5F5925">
            <w:pPr>
              <w:tabs>
                <w:tab w:val="left" w:pos="2352"/>
              </w:tabs>
              <w:ind w:right="-11"/>
              <w:jc w:val="center"/>
              <w:rPr>
                <w:rFonts w:ascii="宋体" w:cs="Arial"/>
                <w:color w:val="auto"/>
                <w:sz w:val="22"/>
                <w:highlight w:val="none"/>
              </w:rPr>
            </w:pPr>
          </w:p>
        </w:tc>
        <w:tc>
          <w:tcPr>
            <w:tcW w:w="1503" w:type="dxa"/>
            <w:tcBorders>
              <w:top w:val="single" w:color="auto" w:sz="4" w:space="0"/>
              <w:left w:val="single" w:color="auto" w:sz="4" w:space="0"/>
              <w:right w:val="single" w:color="auto" w:sz="4" w:space="0"/>
            </w:tcBorders>
            <w:vAlign w:val="center"/>
          </w:tcPr>
          <w:p w14:paraId="64A4553D">
            <w:pPr>
              <w:tabs>
                <w:tab w:val="left" w:pos="2352"/>
              </w:tabs>
              <w:ind w:right="-11"/>
              <w:jc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029C5B32">
            <w:pPr>
              <w:tabs>
                <w:tab w:val="left" w:pos="2352"/>
              </w:tabs>
              <w:ind w:right="-11"/>
              <w:jc w:val="center"/>
              <w:rPr>
                <w:rFonts w:ascii="宋体" w:cs="Arial"/>
                <w:color w:val="auto"/>
                <w:sz w:val="22"/>
                <w:highlight w:val="none"/>
              </w:rPr>
            </w:pPr>
          </w:p>
        </w:tc>
      </w:tr>
      <w:tr w14:paraId="6AB7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1B992F0">
            <w:pPr>
              <w:tabs>
                <w:tab w:val="left" w:pos="2352"/>
              </w:tabs>
              <w:ind w:right="-11"/>
              <w:jc w:val="center"/>
              <w:rPr>
                <w:rFonts w:ascii="宋体" w:cs="Arial"/>
                <w:color w:val="auto"/>
                <w:sz w:val="22"/>
                <w:highlight w:val="none"/>
              </w:rPr>
            </w:pPr>
            <w:r>
              <w:rPr>
                <w:rFonts w:hint="eastAsia" w:ascii="宋体" w:cs="Arial"/>
                <w:color w:val="auto"/>
                <w:sz w:val="22"/>
                <w:highlight w:val="none"/>
              </w:rPr>
              <w:t>3</w:t>
            </w:r>
          </w:p>
        </w:tc>
        <w:tc>
          <w:tcPr>
            <w:tcW w:w="2668" w:type="dxa"/>
            <w:tcBorders>
              <w:top w:val="single" w:color="auto" w:sz="4" w:space="0"/>
              <w:left w:val="single" w:color="auto" w:sz="4" w:space="0"/>
              <w:right w:val="single" w:color="auto" w:sz="4" w:space="0"/>
            </w:tcBorders>
            <w:vAlign w:val="center"/>
          </w:tcPr>
          <w:p w14:paraId="1812C20C">
            <w:pPr>
              <w:tabs>
                <w:tab w:val="left" w:pos="2352"/>
              </w:tabs>
              <w:rPr>
                <w:rFonts w:ascii="宋体" w:cs="Arial"/>
                <w:color w:val="auto"/>
                <w:sz w:val="22"/>
                <w:highlight w:val="none"/>
              </w:rPr>
            </w:pPr>
          </w:p>
        </w:tc>
        <w:tc>
          <w:tcPr>
            <w:tcW w:w="988" w:type="dxa"/>
            <w:tcBorders>
              <w:top w:val="single" w:color="auto" w:sz="4" w:space="0"/>
              <w:left w:val="single" w:color="auto" w:sz="4" w:space="0"/>
              <w:right w:val="single" w:color="auto" w:sz="4" w:space="0"/>
            </w:tcBorders>
            <w:vAlign w:val="center"/>
          </w:tcPr>
          <w:p w14:paraId="7F823220">
            <w:pPr>
              <w:tabs>
                <w:tab w:val="left" w:pos="2352"/>
              </w:tabs>
              <w:ind w:right="-11"/>
              <w:jc w:val="center"/>
              <w:rPr>
                <w:rFonts w:ascii="宋体" w:cs="Arial"/>
                <w:color w:val="auto"/>
                <w:sz w:val="22"/>
                <w:highlight w:val="none"/>
              </w:rPr>
            </w:pPr>
          </w:p>
        </w:tc>
        <w:tc>
          <w:tcPr>
            <w:tcW w:w="1012" w:type="dxa"/>
            <w:tcBorders>
              <w:top w:val="single" w:color="auto" w:sz="4" w:space="0"/>
              <w:left w:val="single" w:color="auto" w:sz="4" w:space="0"/>
              <w:right w:val="single" w:color="auto" w:sz="4" w:space="0"/>
            </w:tcBorders>
            <w:vAlign w:val="center"/>
          </w:tcPr>
          <w:p w14:paraId="0F0B8FA3">
            <w:pPr>
              <w:tabs>
                <w:tab w:val="left" w:pos="2352"/>
              </w:tabs>
              <w:jc w:val="center"/>
              <w:rPr>
                <w:rFonts w:ascii="宋体" w:cs="Arial"/>
                <w:color w:val="auto"/>
                <w:sz w:val="22"/>
                <w:highlight w:val="none"/>
              </w:rPr>
            </w:pPr>
          </w:p>
        </w:tc>
        <w:tc>
          <w:tcPr>
            <w:tcW w:w="1336" w:type="dxa"/>
            <w:tcBorders>
              <w:top w:val="single" w:color="auto" w:sz="4" w:space="0"/>
              <w:left w:val="single" w:color="auto" w:sz="4" w:space="0"/>
              <w:right w:val="single" w:color="auto" w:sz="4" w:space="0"/>
            </w:tcBorders>
            <w:vAlign w:val="center"/>
          </w:tcPr>
          <w:p w14:paraId="099B0460">
            <w:pPr>
              <w:tabs>
                <w:tab w:val="left" w:pos="2352"/>
              </w:tabs>
              <w:ind w:right="-11"/>
              <w:jc w:val="center"/>
              <w:rPr>
                <w:rFonts w:ascii="宋体" w:cs="Arial"/>
                <w:color w:val="auto"/>
                <w:sz w:val="22"/>
                <w:highlight w:val="none"/>
              </w:rPr>
            </w:pPr>
          </w:p>
        </w:tc>
        <w:tc>
          <w:tcPr>
            <w:tcW w:w="1503" w:type="dxa"/>
            <w:tcBorders>
              <w:top w:val="single" w:color="auto" w:sz="4" w:space="0"/>
              <w:left w:val="single" w:color="auto" w:sz="4" w:space="0"/>
              <w:right w:val="single" w:color="auto" w:sz="4" w:space="0"/>
            </w:tcBorders>
            <w:vAlign w:val="center"/>
          </w:tcPr>
          <w:p w14:paraId="4A285F0F">
            <w:pPr>
              <w:tabs>
                <w:tab w:val="left" w:pos="2352"/>
              </w:tabs>
              <w:ind w:right="-11"/>
              <w:jc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706A4550">
            <w:pPr>
              <w:tabs>
                <w:tab w:val="left" w:pos="2352"/>
              </w:tabs>
              <w:ind w:right="-11"/>
              <w:jc w:val="center"/>
              <w:rPr>
                <w:rFonts w:ascii="宋体" w:cs="Arial"/>
                <w:color w:val="auto"/>
                <w:sz w:val="22"/>
                <w:highlight w:val="none"/>
              </w:rPr>
            </w:pPr>
          </w:p>
        </w:tc>
      </w:tr>
      <w:tr w14:paraId="3E55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32E1BC2">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tcBorders>
              <w:top w:val="single" w:color="auto" w:sz="4" w:space="0"/>
              <w:left w:val="single" w:color="auto" w:sz="4" w:space="0"/>
              <w:right w:val="single" w:color="auto" w:sz="4" w:space="0"/>
            </w:tcBorders>
            <w:vAlign w:val="center"/>
          </w:tcPr>
          <w:p w14:paraId="1F0E4635">
            <w:pPr>
              <w:tabs>
                <w:tab w:val="left" w:pos="2352"/>
              </w:tabs>
              <w:rPr>
                <w:rFonts w:ascii="宋体" w:cs="Arial"/>
                <w:color w:val="auto"/>
                <w:sz w:val="22"/>
                <w:highlight w:val="none"/>
              </w:rPr>
            </w:pPr>
          </w:p>
        </w:tc>
        <w:tc>
          <w:tcPr>
            <w:tcW w:w="988" w:type="dxa"/>
            <w:tcBorders>
              <w:top w:val="single" w:color="auto" w:sz="4" w:space="0"/>
              <w:left w:val="single" w:color="auto" w:sz="4" w:space="0"/>
              <w:right w:val="single" w:color="auto" w:sz="4" w:space="0"/>
            </w:tcBorders>
            <w:vAlign w:val="center"/>
          </w:tcPr>
          <w:p w14:paraId="24D12B05">
            <w:pPr>
              <w:tabs>
                <w:tab w:val="left" w:pos="2352"/>
              </w:tabs>
              <w:ind w:right="-11"/>
              <w:jc w:val="center"/>
              <w:rPr>
                <w:rFonts w:ascii="宋体" w:cs="Arial"/>
                <w:color w:val="auto"/>
                <w:sz w:val="22"/>
                <w:highlight w:val="none"/>
              </w:rPr>
            </w:pPr>
          </w:p>
        </w:tc>
        <w:tc>
          <w:tcPr>
            <w:tcW w:w="1012" w:type="dxa"/>
            <w:tcBorders>
              <w:top w:val="single" w:color="auto" w:sz="4" w:space="0"/>
              <w:left w:val="single" w:color="auto" w:sz="4" w:space="0"/>
              <w:right w:val="single" w:color="auto" w:sz="4" w:space="0"/>
            </w:tcBorders>
            <w:vAlign w:val="center"/>
          </w:tcPr>
          <w:p w14:paraId="0F1EC131">
            <w:pPr>
              <w:tabs>
                <w:tab w:val="left" w:pos="2352"/>
              </w:tabs>
              <w:rPr>
                <w:rFonts w:ascii="宋体" w:cs="Arial"/>
                <w:color w:val="auto"/>
                <w:sz w:val="22"/>
                <w:highlight w:val="none"/>
              </w:rPr>
            </w:pPr>
          </w:p>
        </w:tc>
        <w:tc>
          <w:tcPr>
            <w:tcW w:w="1336" w:type="dxa"/>
            <w:tcBorders>
              <w:top w:val="single" w:color="auto" w:sz="4" w:space="0"/>
              <w:left w:val="single" w:color="auto" w:sz="4" w:space="0"/>
              <w:right w:val="single" w:color="auto" w:sz="4" w:space="0"/>
            </w:tcBorders>
            <w:vAlign w:val="center"/>
          </w:tcPr>
          <w:p w14:paraId="709FB9CF">
            <w:pPr>
              <w:tabs>
                <w:tab w:val="left" w:pos="2352"/>
              </w:tabs>
              <w:ind w:right="-11"/>
              <w:jc w:val="center"/>
              <w:rPr>
                <w:rFonts w:ascii="宋体" w:cs="Arial"/>
                <w:color w:val="auto"/>
                <w:sz w:val="22"/>
                <w:highlight w:val="none"/>
              </w:rPr>
            </w:pPr>
          </w:p>
        </w:tc>
        <w:tc>
          <w:tcPr>
            <w:tcW w:w="1503" w:type="dxa"/>
            <w:tcBorders>
              <w:top w:val="single" w:color="auto" w:sz="4" w:space="0"/>
              <w:left w:val="single" w:color="auto" w:sz="4" w:space="0"/>
              <w:right w:val="single" w:color="auto" w:sz="4" w:space="0"/>
            </w:tcBorders>
            <w:vAlign w:val="center"/>
          </w:tcPr>
          <w:p w14:paraId="3F7E54D1">
            <w:pPr>
              <w:tabs>
                <w:tab w:val="left" w:pos="2352"/>
              </w:tabs>
              <w:ind w:right="-11"/>
              <w:jc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5639715B">
            <w:pPr>
              <w:tabs>
                <w:tab w:val="left" w:pos="2352"/>
              </w:tabs>
              <w:ind w:right="-11"/>
              <w:jc w:val="center"/>
              <w:rPr>
                <w:rFonts w:ascii="宋体" w:cs="Arial"/>
                <w:color w:val="auto"/>
                <w:sz w:val="22"/>
                <w:highlight w:val="none"/>
              </w:rPr>
            </w:pPr>
          </w:p>
        </w:tc>
      </w:tr>
      <w:tr w14:paraId="441E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14EA4D">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tcBorders>
              <w:top w:val="single" w:color="auto" w:sz="4" w:space="0"/>
              <w:left w:val="single" w:color="auto" w:sz="4" w:space="0"/>
              <w:right w:val="single" w:color="auto" w:sz="4" w:space="0"/>
            </w:tcBorders>
            <w:vAlign w:val="center"/>
          </w:tcPr>
          <w:p w14:paraId="616BB44B">
            <w:pPr>
              <w:tabs>
                <w:tab w:val="left" w:pos="2352"/>
              </w:tabs>
              <w:rPr>
                <w:rFonts w:ascii="宋体" w:cs="Arial"/>
                <w:color w:val="auto"/>
                <w:sz w:val="22"/>
                <w:highlight w:val="none"/>
              </w:rPr>
            </w:pPr>
          </w:p>
        </w:tc>
        <w:tc>
          <w:tcPr>
            <w:tcW w:w="988" w:type="dxa"/>
            <w:tcBorders>
              <w:top w:val="single" w:color="auto" w:sz="4" w:space="0"/>
              <w:left w:val="single" w:color="auto" w:sz="4" w:space="0"/>
              <w:right w:val="single" w:color="auto" w:sz="4" w:space="0"/>
            </w:tcBorders>
            <w:vAlign w:val="center"/>
          </w:tcPr>
          <w:p w14:paraId="7B825E18">
            <w:pPr>
              <w:tabs>
                <w:tab w:val="left" w:pos="2352"/>
              </w:tabs>
              <w:ind w:right="-11"/>
              <w:jc w:val="center"/>
              <w:rPr>
                <w:rFonts w:ascii="宋体" w:cs="Arial"/>
                <w:color w:val="auto"/>
                <w:sz w:val="22"/>
                <w:highlight w:val="none"/>
              </w:rPr>
            </w:pPr>
          </w:p>
        </w:tc>
        <w:tc>
          <w:tcPr>
            <w:tcW w:w="1012" w:type="dxa"/>
            <w:tcBorders>
              <w:top w:val="single" w:color="auto" w:sz="4" w:space="0"/>
              <w:left w:val="single" w:color="auto" w:sz="4" w:space="0"/>
              <w:right w:val="single" w:color="auto" w:sz="4" w:space="0"/>
            </w:tcBorders>
            <w:vAlign w:val="center"/>
          </w:tcPr>
          <w:p w14:paraId="4347D003">
            <w:pPr>
              <w:tabs>
                <w:tab w:val="left" w:pos="2352"/>
              </w:tabs>
              <w:jc w:val="center"/>
              <w:rPr>
                <w:rFonts w:ascii="宋体" w:cs="Arial"/>
                <w:color w:val="auto"/>
                <w:sz w:val="22"/>
                <w:highlight w:val="none"/>
              </w:rPr>
            </w:pPr>
          </w:p>
        </w:tc>
        <w:tc>
          <w:tcPr>
            <w:tcW w:w="1336" w:type="dxa"/>
            <w:tcBorders>
              <w:top w:val="single" w:color="auto" w:sz="4" w:space="0"/>
              <w:left w:val="single" w:color="auto" w:sz="4" w:space="0"/>
              <w:right w:val="single" w:color="auto" w:sz="4" w:space="0"/>
            </w:tcBorders>
            <w:vAlign w:val="center"/>
          </w:tcPr>
          <w:p w14:paraId="3A0DFC46">
            <w:pPr>
              <w:tabs>
                <w:tab w:val="left" w:pos="2352"/>
              </w:tabs>
              <w:ind w:right="-11"/>
              <w:jc w:val="center"/>
              <w:rPr>
                <w:rFonts w:ascii="宋体" w:cs="Arial"/>
                <w:color w:val="auto"/>
                <w:sz w:val="22"/>
                <w:highlight w:val="none"/>
              </w:rPr>
            </w:pPr>
          </w:p>
        </w:tc>
        <w:tc>
          <w:tcPr>
            <w:tcW w:w="1503" w:type="dxa"/>
            <w:tcBorders>
              <w:top w:val="single" w:color="auto" w:sz="4" w:space="0"/>
              <w:left w:val="single" w:color="auto" w:sz="4" w:space="0"/>
              <w:right w:val="single" w:color="auto" w:sz="4" w:space="0"/>
            </w:tcBorders>
            <w:vAlign w:val="center"/>
          </w:tcPr>
          <w:p w14:paraId="0D876E3B">
            <w:pPr>
              <w:tabs>
                <w:tab w:val="left" w:pos="2352"/>
              </w:tabs>
              <w:ind w:right="-11"/>
              <w:jc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1C5134F6">
            <w:pPr>
              <w:tabs>
                <w:tab w:val="left" w:pos="2352"/>
              </w:tabs>
              <w:ind w:right="-11"/>
              <w:jc w:val="center"/>
              <w:rPr>
                <w:rFonts w:ascii="宋体" w:cs="Arial"/>
                <w:color w:val="auto"/>
                <w:sz w:val="22"/>
                <w:highlight w:val="none"/>
              </w:rPr>
            </w:pPr>
          </w:p>
        </w:tc>
      </w:tr>
      <w:tr w14:paraId="6F8C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46CCF58">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tcBorders>
              <w:top w:val="single" w:color="auto" w:sz="4" w:space="0"/>
              <w:left w:val="single" w:color="auto" w:sz="4" w:space="0"/>
              <w:right w:val="single" w:color="auto" w:sz="4" w:space="0"/>
            </w:tcBorders>
            <w:vAlign w:val="center"/>
          </w:tcPr>
          <w:p w14:paraId="303341D4">
            <w:pPr>
              <w:tabs>
                <w:tab w:val="left" w:pos="2352"/>
              </w:tabs>
              <w:rPr>
                <w:rFonts w:ascii="宋体" w:cs="Arial"/>
                <w:color w:val="auto"/>
                <w:sz w:val="22"/>
                <w:highlight w:val="none"/>
              </w:rPr>
            </w:pPr>
          </w:p>
        </w:tc>
        <w:tc>
          <w:tcPr>
            <w:tcW w:w="988" w:type="dxa"/>
            <w:tcBorders>
              <w:top w:val="single" w:color="auto" w:sz="4" w:space="0"/>
              <w:left w:val="single" w:color="auto" w:sz="4" w:space="0"/>
              <w:right w:val="single" w:color="auto" w:sz="4" w:space="0"/>
            </w:tcBorders>
            <w:vAlign w:val="center"/>
          </w:tcPr>
          <w:p w14:paraId="1059D316">
            <w:pPr>
              <w:tabs>
                <w:tab w:val="left" w:pos="2352"/>
              </w:tabs>
              <w:ind w:right="-11"/>
              <w:jc w:val="center"/>
              <w:rPr>
                <w:rFonts w:ascii="宋体" w:cs="Arial"/>
                <w:color w:val="auto"/>
                <w:sz w:val="22"/>
                <w:highlight w:val="none"/>
              </w:rPr>
            </w:pPr>
          </w:p>
        </w:tc>
        <w:tc>
          <w:tcPr>
            <w:tcW w:w="1012" w:type="dxa"/>
            <w:tcBorders>
              <w:top w:val="single" w:color="auto" w:sz="4" w:space="0"/>
              <w:left w:val="single" w:color="auto" w:sz="4" w:space="0"/>
              <w:right w:val="single" w:color="auto" w:sz="4" w:space="0"/>
            </w:tcBorders>
            <w:vAlign w:val="center"/>
          </w:tcPr>
          <w:p w14:paraId="3E66A4D8">
            <w:pPr>
              <w:tabs>
                <w:tab w:val="left" w:pos="2352"/>
              </w:tabs>
              <w:jc w:val="center"/>
              <w:rPr>
                <w:rFonts w:ascii="宋体" w:cs="Arial"/>
                <w:color w:val="auto"/>
                <w:sz w:val="22"/>
                <w:highlight w:val="none"/>
              </w:rPr>
            </w:pPr>
          </w:p>
        </w:tc>
        <w:tc>
          <w:tcPr>
            <w:tcW w:w="1336" w:type="dxa"/>
            <w:tcBorders>
              <w:top w:val="single" w:color="auto" w:sz="4" w:space="0"/>
              <w:left w:val="single" w:color="auto" w:sz="4" w:space="0"/>
              <w:right w:val="single" w:color="auto" w:sz="4" w:space="0"/>
            </w:tcBorders>
            <w:vAlign w:val="center"/>
          </w:tcPr>
          <w:p w14:paraId="30C3FFEE">
            <w:pPr>
              <w:tabs>
                <w:tab w:val="left" w:pos="2352"/>
              </w:tabs>
              <w:ind w:right="-11"/>
              <w:jc w:val="center"/>
              <w:rPr>
                <w:rFonts w:ascii="宋体" w:cs="Arial"/>
                <w:color w:val="auto"/>
                <w:sz w:val="22"/>
                <w:highlight w:val="none"/>
              </w:rPr>
            </w:pPr>
          </w:p>
        </w:tc>
        <w:tc>
          <w:tcPr>
            <w:tcW w:w="1503" w:type="dxa"/>
            <w:tcBorders>
              <w:top w:val="single" w:color="auto" w:sz="4" w:space="0"/>
              <w:left w:val="single" w:color="auto" w:sz="4" w:space="0"/>
              <w:right w:val="single" w:color="auto" w:sz="4" w:space="0"/>
            </w:tcBorders>
            <w:vAlign w:val="center"/>
          </w:tcPr>
          <w:p w14:paraId="4AB52140">
            <w:pPr>
              <w:tabs>
                <w:tab w:val="left" w:pos="2352"/>
              </w:tabs>
              <w:ind w:right="-11"/>
              <w:jc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3EC06952">
            <w:pPr>
              <w:tabs>
                <w:tab w:val="left" w:pos="2352"/>
              </w:tabs>
              <w:ind w:right="-11"/>
              <w:jc w:val="center"/>
              <w:rPr>
                <w:rFonts w:ascii="宋体" w:cs="Arial"/>
                <w:color w:val="auto"/>
                <w:sz w:val="22"/>
                <w:highlight w:val="none"/>
              </w:rPr>
            </w:pPr>
          </w:p>
        </w:tc>
      </w:tr>
      <w:tr w14:paraId="14F7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D52CF3F">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tcBorders>
              <w:top w:val="single" w:color="auto" w:sz="4" w:space="0"/>
              <w:left w:val="single" w:color="auto" w:sz="4" w:space="0"/>
              <w:right w:val="single" w:color="auto" w:sz="4" w:space="0"/>
            </w:tcBorders>
            <w:vAlign w:val="center"/>
          </w:tcPr>
          <w:p w14:paraId="012B0169">
            <w:pPr>
              <w:tabs>
                <w:tab w:val="left" w:pos="2352"/>
              </w:tabs>
              <w:rPr>
                <w:rFonts w:ascii="宋体" w:cs="Arial"/>
                <w:color w:val="auto"/>
                <w:sz w:val="22"/>
                <w:highlight w:val="none"/>
              </w:rPr>
            </w:pPr>
          </w:p>
        </w:tc>
        <w:tc>
          <w:tcPr>
            <w:tcW w:w="988" w:type="dxa"/>
            <w:tcBorders>
              <w:top w:val="single" w:color="auto" w:sz="4" w:space="0"/>
              <w:left w:val="single" w:color="auto" w:sz="4" w:space="0"/>
              <w:right w:val="single" w:color="auto" w:sz="4" w:space="0"/>
            </w:tcBorders>
            <w:vAlign w:val="center"/>
          </w:tcPr>
          <w:p w14:paraId="2EC6EE7A">
            <w:pPr>
              <w:tabs>
                <w:tab w:val="left" w:pos="2352"/>
              </w:tabs>
              <w:ind w:right="-11"/>
              <w:jc w:val="center"/>
              <w:rPr>
                <w:rFonts w:ascii="宋体" w:cs="Arial"/>
                <w:color w:val="auto"/>
                <w:sz w:val="22"/>
                <w:highlight w:val="none"/>
              </w:rPr>
            </w:pPr>
          </w:p>
        </w:tc>
        <w:tc>
          <w:tcPr>
            <w:tcW w:w="1012" w:type="dxa"/>
            <w:tcBorders>
              <w:top w:val="single" w:color="auto" w:sz="4" w:space="0"/>
              <w:left w:val="single" w:color="auto" w:sz="4" w:space="0"/>
              <w:right w:val="single" w:color="auto" w:sz="4" w:space="0"/>
            </w:tcBorders>
            <w:vAlign w:val="center"/>
          </w:tcPr>
          <w:p w14:paraId="558C077A">
            <w:pPr>
              <w:tabs>
                <w:tab w:val="left" w:pos="2352"/>
              </w:tabs>
              <w:jc w:val="center"/>
              <w:rPr>
                <w:rFonts w:ascii="宋体" w:cs="Arial"/>
                <w:color w:val="auto"/>
                <w:sz w:val="22"/>
                <w:highlight w:val="none"/>
              </w:rPr>
            </w:pPr>
          </w:p>
        </w:tc>
        <w:tc>
          <w:tcPr>
            <w:tcW w:w="1336" w:type="dxa"/>
            <w:tcBorders>
              <w:top w:val="single" w:color="auto" w:sz="4" w:space="0"/>
              <w:left w:val="single" w:color="auto" w:sz="4" w:space="0"/>
              <w:right w:val="single" w:color="auto" w:sz="4" w:space="0"/>
            </w:tcBorders>
            <w:vAlign w:val="center"/>
          </w:tcPr>
          <w:p w14:paraId="22AD9711">
            <w:pPr>
              <w:tabs>
                <w:tab w:val="left" w:pos="2352"/>
              </w:tabs>
              <w:ind w:right="-11"/>
              <w:jc w:val="center"/>
              <w:rPr>
                <w:rFonts w:ascii="宋体" w:cs="Arial"/>
                <w:color w:val="auto"/>
                <w:sz w:val="22"/>
                <w:highlight w:val="none"/>
              </w:rPr>
            </w:pPr>
          </w:p>
        </w:tc>
        <w:tc>
          <w:tcPr>
            <w:tcW w:w="1503" w:type="dxa"/>
            <w:tcBorders>
              <w:top w:val="single" w:color="auto" w:sz="4" w:space="0"/>
              <w:left w:val="single" w:color="auto" w:sz="4" w:space="0"/>
              <w:right w:val="single" w:color="auto" w:sz="4" w:space="0"/>
            </w:tcBorders>
            <w:vAlign w:val="center"/>
          </w:tcPr>
          <w:p w14:paraId="20EA7543">
            <w:pPr>
              <w:tabs>
                <w:tab w:val="left" w:pos="2352"/>
              </w:tabs>
              <w:ind w:right="-11"/>
              <w:jc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1098176C">
            <w:pPr>
              <w:tabs>
                <w:tab w:val="left" w:pos="2352"/>
              </w:tabs>
              <w:ind w:right="-11"/>
              <w:jc w:val="center"/>
              <w:rPr>
                <w:rFonts w:ascii="宋体" w:cs="Arial"/>
                <w:color w:val="auto"/>
                <w:sz w:val="22"/>
                <w:highlight w:val="none"/>
              </w:rPr>
            </w:pPr>
          </w:p>
        </w:tc>
      </w:tr>
      <w:tr w14:paraId="694A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3D9382E">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tcBorders>
              <w:top w:val="single" w:color="auto" w:sz="4" w:space="0"/>
              <w:left w:val="single" w:color="auto" w:sz="4" w:space="0"/>
              <w:right w:val="single" w:color="auto" w:sz="4" w:space="0"/>
            </w:tcBorders>
            <w:vAlign w:val="center"/>
          </w:tcPr>
          <w:p w14:paraId="4C46D884">
            <w:pPr>
              <w:widowControl/>
              <w:tabs>
                <w:tab w:val="left" w:pos="2352"/>
              </w:tabs>
              <w:jc w:val="center"/>
              <w:textAlignment w:val="center"/>
              <w:rPr>
                <w:rFonts w:ascii="宋体" w:cs="Arial"/>
                <w:color w:val="auto"/>
                <w:sz w:val="22"/>
                <w:highlight w:val="none"/>
              </w:rPr>
            </w:pPr>
          </w:p>
        </w:tc>
        <w:tc>
          <w:tcPr>
            <w:tcW w:w="988" w:type="dxa"/>
            <w:tcBorders>
              <w:top w:val="single" w:color="auto" w:sz="4" w:space="0"/>
              <w:left w:val="single" w:color="auto" w:sz="4" w:space="0"/>
              <w:right w:val="single" w:color="auto" w:sz="4" w:space="0"/>
            </w:tcBorders>
            <w:vAlign w:val="center"/>
          </w:tcPr>
          <w:p w14:paraId="18FF29E5">
            <w:pPr>
              <w:widowControl/>
              <w:tabs>
                <w:tab w:val="left" w:pos="2352"/>
              </w:tabs>
              <w:jc w:val="center"/>
              <w:textAlignment w:val="center"/>
              <w:rPr>
                <w:rFonts w:ascii="宋体" w:cs="Arial"/>
                <w:color w:val="auto"/>
                <w:sz w:val="22"/>
                <w:highlight w:val="none"/>
              </w:rPr>
            </w:pPr>
          </w:p>
        </w:tc>
        <w:tc>
          <w:tcPr>
            <w:tcW w:w="1012" w:type="dxa"/>
            <w:tcBorders>
              <w:top w:val="single" w:color="auto" w:sz="4" w:space="0"/>
              <w:left w:val="single" w:color="auto" w:sz="4" w:space="0"/>
              <w:right w:val="single" w:color="auto" w:sz="4" w:space="0"/>
            </w:tcBorders>
            <w:vAlign w:val="center"/>
          </w:tcPr>
          <w:p w14:paraId="2B48C3C4">
            <w:pPr>
              <w:widowControl/>
              <w:tabs>
                <w:tab w:val="left" w:pos="2352"/>
              </w:tabs>
              <w:jc w:val="center"/>
              <w:textAlignment w:val="center"/>
              <w:rPr>
                <w:rFonts w:ascii="宋体" w:cs="Arial"/>
                <w:color w:val="auto"/>
                <w:sz w:val="22"/>
                <w:highlight w:val="none"/>
              </w:rPr>
            </w:pPr>
          </w:p>
        </w:tc>
        <w:tc>
          <w:tcPr>
            <w:tcW w:w="1336" w:type="dxa"/>
            <w:tcBorders>
              <w:top w:val="single" w:color="auto" w:sz="4" w:space="0"/>
              <w:left w:val="single" w:color="auto" w:sz="4" w:space="0"/>
              <w:right w:val="single" w:color="auto" w:sz="4" w:space="0"/>
            </w:tcBorders>
            <w:vAlign w:val="center"/>
          </w:tcPr>
          <w:p w14:paraId="2A4FF1D9">
            <w:pPr>
              <w:widowControl/>
              <w:tabs>
                <w:tab w:val="left" w:pos="2352"/>
              </w:tabs>
              <w:jc w:val="center"/>
              <w:textAlignment w:val="center"/>
              <w:rPr>
                <w:rFonts w:ascii="宋体" w:cs="Arial"/>
                <w:color w:val="auto"/>
                <w:sz w:val="22"/>
                <w:highlight w:val="none"/>
              </w:rPr>
            </w:pPr>
          </w:p>
        </w:tc>
        <w:tc>
          <w:tcPr>
            <w:tcW w:w="1503" w:type="dxa"/>
            <w:tcBorders>
              <w:top w:val="single" w:color="auto" w:sz="4" w:space="0"/>
              <w:left w:val="single" w:color="auto" w:sz="4" w:space="0"/>
              <w:right w:val="single" w:color="auto" w:sz="4" w:space="0"/>
            </w:tcBorders>
            <w:vAlign w:val="center"/>
          </w:tcPr>
          <w:p w14:paraId="15B4C88A">
            <w:pPr>
              <w:tabs>
                <w:tab w:val="left" w:pos="2352"/>
              </w:tabs>
              <w:ind w:right="-11"/>
              <w:jc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55FBD1FB">
            <w:pPr>
              <w:tabs>
                <w:tab w:val="left" w:pos="2352"/>
              </w:tabs>
              <w:ind w:right="-11"/>
              <w:jc w:val="center"/>
              <w:rPr>
                <w:rFonts w:ascii="宋体" w:cs="Arial"/>
                <w:color w:val="auto"/>
                <w:sz w:val="22"/>
                <w:highlight w:val="none"/>
              </w:rPr>
            </w:pPr>
          </w:p>
        </w:tc>
      </w:tr>
      <w:tr w14:paraId="384E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E818AEC">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tcBorders>
              <w:top w:val="single" w:color="auto" w:sz="4" w:space="0"/>
              <w:left w:val="single" w:color="auto" w:sz="4" w:space="0"/>
              <w:right w:val="single" w:color="auto" w:sz="4" w:space="0"/>
            </w:tcBorders>
            <w:vAlign w:val="center"/>
          </w:tcPr>
          <w:p w14:paraId="53ACC36B">
            <w:pPr>
              <w:widowControl/>
              <w:tabs>
                <w:tab w:val="left" w:pos="2352"/>
              </w:tabs>
              <w:jc w:val="left"/>
              <w:textAlignment w:val="center"/>
              <w:rPr>
                <w:rFonts w:ascii="宋体" w:cs="Arial"/>
                <w:color w:val="auto"/>
                <w:sz w:val="22"/>
                <w:highlight w:val="none"/>
              </w:rPr>
            </w:pPr>
          </w:p>
        </w:tc>
        <w:tc>
          <w:tcPr>
            <w:tcW w:w="988" w:type="dxa"/>
            <w:tcBorders>
              <w:top w:val="single" w:color="auto" w:sz="4" w:space="0"/>
              <w:left w:val="single" w:color="auto" w:sz="4" w:space="0"/>
              <w:right w:val="single" w:color="auto" w:sz="4" w:space="0"/>
            </w:tcBorders>
            <w:vAlign w:val="center"/>
          </w:tcPr>
          <w:p w14:paraId="40E1FC69">
            <w:pPr>
              <w:widowControl/>
              <w:tabs>
                <w:tab w:val="left" w:pos="2352"/>
              </w:tabs>
              <w:jc w:val="center"/>
              <w:textAlignment w:val="center"/>
              <w:rPr>
                <w:rFonts w:ascii="宋体" w:cs="Arial"/>
                <w:color w:val="auto"/>
                <w:sz w:val="22"/>
                <w:highlight w:val="none"/>
              </w:rPr>
            </w:pPr>
          </w:p>
        </w:tc>
        <w:tc>
          <w:tcPr>
            <w:tcW w:w="1012" w:type="dxa"/>
            <w:tcBorders>
              <w:top w:val="single" w:color="auto" w:sz="4" w:space="0"/>
              <w:left w:val="single" w:color="auto" w:sz="4" w:space="0"/>
              <w:right w:val="single" w:color="auto" w:sz="4" w:space="0"/>
            </w:tcBorders>
            <w:vAlign w:val="center"/>
          </w:tcPr>
          <w:p w14:paraId="78B2E870">
            <w:pPr>
              <w:widowControl/>
              <w:tabs>
                <w:tab w:val="left" w:pos="2352"/>
              </w:tabs>
              <w:jc w:val="center"/>
              <w:textAlignment w:val="center"/>
              <w:rPr>
                <w:rFonts w:ascii="宋体" w:cs="Arial"/>
                <w:color w:val="auto"/>
                <w:sz w:val="22"/>
                <w:highlight w:val="none"/>
              </w:rPr>
            </w:pPr>
          </w:p>
        </w:tc>
        <w:tc>
          <w:tcPr>
            <w:tcW w:w="1336" w:type="dxa"/>
            <w:tcBorders>
              <w:top w:val="single" w:color="auto" w:sz="4" w:space="0"/>
              <w:left w:val="single" w:color="auto" w:sz="4" w:space="0"/>
              <w:right w:val="single" w:color="auto" w:sz="4" w:space="0"/>
            </w:tcBorders>
            <w:vAlign w:val="center"/>
          </w:tcPr>
          <w:p w14:paraId="6F2504C1">
            <w:pPr>
              <w:widowControl/>
              <w:tabs>
                <w:tab w:val="left" w:pos="2352"/>
              </w:tabs>
              <w:jc w:val="center"/>
              <w:textAlignment w:val="center"/>
              <w:rPr>
                <w:rFonts w:ascii="宋体" w:cs="Arial"/>
                <w:color w:val="auto"/>
                <w:sz w:val="22"/>
                <w:highlight w:val="none"/>
              </w:rPr>
            </w:pPr>
          </w:p>
        </w:tc>
        <w:tc>
          <w:tcPr>
            <w:tcW w:w="1503" w:type="dxa"/>
            <w:tcBorders>
              <w:top w:val="single" w:color="auto" w:sz="4" w:space="0"/>
              <w:left w:val="single" w:color="auto" w:sz="4" w:space="0"/>
              <w:right w:val="single" w:color="auto" w:sz="4" w:space="0"/>
            </w:tcBorders>
            <w:vAlign w:val="center"/>
          </w:tcPr>
          <w:p w14:paraId="23D638D5">
            <w:pPr>
              <w:tabs>
                <w:tab w:val="left" w:pos="2352"/>
              </w:tabs>
              <w:ind w:right="-11"/>
              <w:jc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66915F1F">
            <w:pPr>
              <w:tabs>
                <w:tab w:val="left" w:pos="2352"/>
              </w:tabs>
              <w:ind w:right="-11"/>
              <w:jc w:val="center"/>
              <w:rPr>
                <w:rFonts w:ascii="宋体" w:cs="Arial"/>
                <w:color w:val="auto"/>
                <w:sz w:val="22"/>
                <w:highlight w:val="none"/>
              </w:rPr>
            </w:pPr>
          </w:p>
        </w:tc>
      </w:tr>
      <w:tr w14:paraId="7513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5B0E9D6">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tcBorders>
              <w:top w:val="single" w:color="auto" w:sz="4" w:space="0"/>
              <w:left w:val="single" w:color="auto" w:sz="4" w:space="0"/>
              <w:right w:val="single" w:color="auto" w:sz="4" w:space="0"/>
            </w:tcBorders>
            <w:vAlign w:val="center"/>
          </w:tcPr>
          <w:p w14:paraId="3621C508">
            <w:pPr>
              <w:widowControl/>
              <w:tabs>
                <w:tab w:val="left" w:pos="2352"/>
              </w:tabs>
              <w:jc w:val="left"/>
              <w:textAlignment w:val="center"/>
              <w:rPr>
                <w:rFonts w:ascii="宋体" w:cs="Arial"/>
                <w:color w:val="auto"/>
                <w:sz w:val="22"/>
                <w:highlight w:val="none"/>
              </w:rPr>
            </w:pPr>
          </w:p>
        </w:tc>
        <w:tc>
          <w:tcPr>
            <w:tcW w:w="988" w:type="dxa"/>
            <w:tcBorders>
              <w:top w:val="single" w:color="auto" w:sz="4" w:space="0"/>
              <w:left w:val="single" w:color="auto" w:sz="4" w:space="0"/>
              <w:right w:val="single" w:color="auto" w:sz="4" w:space="0"/>
            </w:tcBorders>
            <w:vAlign w:val="center"/>
          </w:tcPr>
          <w:p w14:paraId="335DE44F">
            <w:pPr>
              <w:widowControl/>
              <w:tabs>
                <w:tab w:val="left" w:pos="2352"/>
              </w:tabs>
              <w:jc w:val="center"/>
              <w:textAlignment w:val="center"/>
              <w:rPr>
                <w:rFonts w:ascii="宋体" w:cs="Arial"/>
                <w:color w:val="auto"/>
                <w:sz w:val="22"/>
                <w:highlight w:val="none"/>
              </w:rPr>
            </w:pPr>
          </w:p>
        </w:tc>
        <w:tc>
          <w:tcPr>
            <w:tcW w:w="1012" w:type="dxa"/>
            <w:tcBorders>
              <w:top w:val="single" w:color="auto" w:sz="4" w:space="0"/>
              <w:left w:val="single" w:color="auto" w:sz="4" w:space="0"/>
              <w:right w:val="single" w:color="auto" w:sz="4" w:space="0"/>
            </w:tcBorders>
            <w:vAlign w:val="center"/>
          </w:tcPr>
          <w:p w14:paraId="71F3F9A4">
            <w:pPr>
              <w:widowControl/>
              <w:tabs>
                <w:tab w:val="left" w:pos="2352"/>
              </w:tabs>
              <w:jc w:val="center"/>
              <w:textAlignment w:val="center"/>
              <w:rPr>
                <w:rFonts w:ascii="宋体" w:cs="Arial"/>
                <w:color w:val="auto"/>
                <w:sz w:val="22"/>
                <w:highlight w:val="none"/>
              </w:rPr>
            </w:pPr>
          </w:p>
        </w:tc>
        <w:tc>
          <w:tcPr>
            <w:tcW w:w="1336" w:type="dxa"/>
            <w:tcBorders>
              <w:top w:val="single" w:color="auto" w:sz="4" w:space="0"/>
              <w:left w:val="single" w:color="auto" w:sz="4" w:space="0"/>
              <w:right w:val="single" w:color="auto" w:sz="4" w:space="0"/>
            </w:tcBorders>
            <w:vAlign w:val="center"/>
          </w:tcPr>
          <w:p w14:paraId="788DD187">
            <w:pPr>
              <w:widowControl/>
              <w:tabs>
                <w:tab w:val="left" w:pos="2352"/>
              </w:tabs>
              <w:jc w:val="center"/>
              <w:textAlignment w:val="center"/>
              <w:rPr>
                <w:rFonts w:ascii="宋体" w:cs="Arial"/>
                <w:color w:val="auto"/>
                <w:sz w:val="22"/>
                <w:highlight w:val="none"/>
              </w:rPr>
            </w:pPr>
          </w:p>
        </w:tc>
        <w:tc>
          <w:tcPr>
            <w:tcW w:w="1503" w:type="dxa"/>
            <w:tcBorders>
              <w:top w:val="single" w:color="auto" w:sz="4" w:space="0"/>
              <w:left w:val="single" w:color="auto" w:sz="4" w:space="0"/>
              <w:right w:val="single" w:color="auto" w:sz="4" w:space="0"/>
            </w:tcBorders>
            <w:vAlign w:val="center"/>
          </w:tcPr>
          <w:p w14:paraId="16B66162">
            <w:pPr>
              <w:tabs>
                <w:tab w:val="left" w:pos="2352"/>
              </w:tabs>
              <w:ind w:right="-11"/>
              <w:jc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480DF6CD">
            <w:pPr>
              <w:tabs>
                <w:tab w:val="left" w:pos="2352"/>
              </w:tabs>
              <w:ind w:right="-11"/>
              <w:jc w:val="center"/>
              <w:rPr>
                <w:rFonts w:ascii="宋体" w:cs="Arial"/>
                <w:color w:val="auto"/>
                <w:sz w:val="22"/>
                <w:highlight w:val="none"/>
              </w:rPr>
            </w:pPr>
          </w:p>
        </w:tc>
      </w:tr>
      <w:tr w14:paraId="2A94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83263A9">
            <w:pPr>
              <w:widowControl/>
              <w:tabs>
                <w:tab w:val="left" w:pos="2352"/>
              </w:tabs>
              <w:jc w:val="center"/>
              <w:textAlignment w:val="center"/>
              <w:rPr>
                <w:rFonts w:ascii="宋体" w:cs="Arial"/>
                <w:color w:val="auto"/>
                <w:sz w:val="22"/>
                <w:highlight w:val="none"/>
              </w:rPr>
            </w:pPr>
          </w:p>
        </w:tc>
        <w:tc>
          <w:tcPr>
            <w:tcW w:w="2668" w:type="dxa"/>
            <w:tcBorders>
              <w:top w:val="single" w:color="auto" w:sz="4" w:space="0"/>
              <w:left w:val="single" w:color="auto" w:sz="4" w:space="0"/>
              <w:right w:val="single" w:color="auto" w:sz="4" w:space="0"/>
            </w:tcBorders>
            <w:vAlign w:val="center"/>
          </w:tcPr>
          <w:p w14:paraId="7A0CF122">
            <w:pPr>
              <w:widowControl/>
              <w:tabs>
                <w:tab w:val="left" w:pos="2352"/>
              </w:tabs>
              <w:jc w:val="left"/>
              <w:textAlignment w:val="center"/>
              <w:rPr>
                <w:rFonts w:ascii="宋体" w:cs="Arial"/>
                <w:color w:val="auto"/>
                <w:sz w:val="22"/>
                <w:highlight w:val="none"/>
              </w:rPr>
            </w:pPr>
          </w:p>
        </w:tc>
        <w:tc>
          <w:tcPr>
            <w:tcW w:w="988" w:type="dxa"/>
            <w:tcBorders>
              <w:top w:val="single" w:color="auto" w:sz="4" w:space="0"/>
              <w:left w:val="single" w:color="auto" w:sz="4" w:space="0"/>
              <w:right w:val="single" w:color="auto" w:sz="4" w:space="0"/>
            </w:tcBorders>
            <w:vAlign w:val="center"/>
          </w:tcPr>
          <w:p w14:paraId="52F794FB">
            <w:pPr>
              <w:widowControl/>
              <w:tabs>
                <w:tab w:val="left" w:pos="2352"/>
              </w:tabs>
              <w:jc w:val="center"/>
              <w:textAlignment w:val="center"/>
              <w:rPr>
                <w:rFonts w:ascii="宋体" w:cs="Arial"/>
                <w:color w:val="auto"/>
                <w:sz w:val="22"/>
                <w:highlight w:val="none"/>
              </w:rPr>
            </w:pPr>
          </w:p>
        </w:tc>
        <w:tc>
          <w:tcPr>
            <w:tcW w:w="1012" w:type="dxa"/>
            <w:tcBorders>
              <w:top w:val="single" w:color="auto" w:sz="4" w:space="0"/>
              <w:left w:val="single" w:color="auto" w:sz="4" w:space="0"/>
              <w:right w:val="single" w:color="auto" w:sz="4" w:space="0"/>
            </w:tcBorders>
            <w:vAlign w:val="center"/>
          </w:tcPr>
          <w:p w14:paraId="23496549">
            <w:pPr>
              <w:widowControl/>
              <w:tabs>
                <w:tab w:val="left" w:pos="2352"/>
              </w:tabs>
              <w:jc w:val="center"/>
              <w:textAlignment w:val="center"/>
              <w:rPr>
                <w:rFonts w:ascii="宋体" w:cs="Arial"/>
                <w:color w:val="auto"/>
                <w:sz w:val="22"/>
                <w:highlight w:val="none"/>
              </w:rPr>
            </w:pPr>
          </w:p>
        </w:tc>
        <w:tc>
          <w:tcPr>
            <w:tcW w:w="1336" w:type="dxa"/>
            <w:tcBorders>
              <w:top w:val="single" w:color="auto" w:sz="4" w:space="0"/>
              <w:left w:val="single" w:color="auto" w:sz="4" w:space="0"/>
              <w:right w:val="single" w:color="auto" w:sz="4" w:space="0"/>
            </w:tcBorders>
            <w:vAlign w:val="center"/>
          </w:tcPr>
          <w:p w14:paraId="060DABCB">
            <w:pPr>
              <w:widowControl/>
              <w:tabs>
                <w:tab w:val="left" w:pos="2352"/>
              </w:tabs>
              <w:jc w:val="center"/>
              <w:textAlignment w:val="center"/>
              <w:rPr>
                <w:rFonts w:ascii="宋体" w:cs="Arial"/>
                <w:color w:val="auto"/>
                <w:sz w:val="22"/>
                <w:highlight w:val="none"/>
              </w:rPr>
            </w:pPr>
          </w:p>
        </w:tc>
        <w:tc>
          <w:tcPr>
            <w:tcW w:w="1503" w:type="dxa"/>
            <w:tcBorders>
              <w:top w:val="single" w:color="auto" w:sz="4" w:space="0"/>
              <w:left w:val="single" w:color="auto" w:sz="4" w:space="0"/>
              <w:right w:val="single" w:color="auto" w:sz="4" w:space="0"/>
            </w:tcBorders>
            <w:vAlign w:val="center"/>
          </w:tcPr>
          <w:p w14:paraId="388DBB8B">
            <w:pPr>
              <w:tabs>
                <w:tab w:val="left" w:pos="2352"/>
              </w:tabs>
              <w:ind w:right="-11"/>
              <w:jc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744903A4">
            <w:pPr>
              <w:tabs>
                <w:tab w:val="left" w:pos="2352"/>
              </w:tabs>
              <w:ind w:right="-11"/>
              <w:jc w:val="center"/>
              <w:rPr>
                <w:rFonts w:ascii="宋体" w:cs="Arial"/>
                <w:color w:val="auto"/>
                <w:sz w:val="22"/>
                <w:highlight w:val="none"/>
              </w:rPr>
            </w:pPr>
          </w:p>
        </w:tc>
      </w:tr>
      <w:tr w14:paraId="587A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tcBorders>
              <w:top w:val="single" w:color="auto" w:sz="4" w:space="0"/>
              <w:left w:val="single" w:color="auto" w:sz="4" w:space="0"/>
              <w:right w:val="single" w:color="auto" w:sz="4" w:space="0"/>
            </w:tcBorders>
            <w:vAlign w:val="center"/>
          </w:tcPr>
          <w:p w14:paraId="15AAFE11">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合计</w:t>
            </w:r>
          </w:p>
        </w:tc>
        <w:tc>
          <w:tcPr>
            <w:tcW w:w="1503" w:type="dxa"/>
            <w:tcBorders>
              <w:top w:val="single" w:color="auto" w:sz="4" w:space="0"/>
              <w:left w:val="single" w:color="auto" w:sz="4" w:space="0"/>
              <w:right w:val="single" w:color="auto" w:sz="4" w:space="0"/>
            </w:tcBorders>
            <w:vAlign w:val="center"/>
          </w:tcPr>
          <w:p w14:paraId="1147E435">
            <w:pPr>
              <w:widowControl/>
              <w:tabs>
                <w:tab w:val="left" w:pos="2352"/>
              </w:tabs>
              <w:jc w:val="center"/>
              <w:textAlignment w:val="center"/>
              <w:rPr>
                <w:rFonts w:ascii="宋体" w:cs="Arial"/>
                <w:color w:val="auto"/>
                <w:sz w:val="22"/>
                <w:highlight w:val="none"/>
              </w:rPr>
            </w:pPr>
          </w:p>
        </w:tc>
        <w:tc>
          <w:tcPr>
            <w:tcW w:w="1560" w:type="dxa"/>
            <w:tcBorders>
              <w:top w:val="single" w:color="auto" w:sz="4" w:space="0"/>
              <w:left w:val="single" w:color="auto" w:sz="4" w:space="0"/>
              <w:right w:val="single" w:color="auto" w:sz="4" w:space="0"/>
            </w:tcBorders>
            <w:vAlign w:val="center"/>
          </w:tcPr>
          <w:p w14:paraId="07FB2EEB">
            <w:pPr>
              <w:tabs>
                <w:tab w:val="left" w:pos="2352"/>
              </w:tabs>
              <w:ind w:right="-11"/>
              <w:jc w:val="center"/>
              <w:rPr>
                <w:rFonts w:ascii="宋体" w:cs="Arial"/>
                <w:color w:val="auto"/>
                <w:sz w:val="22"/>
                <w:highlight w:val="none"/>
              </w:rPr>
            </w:pPr>
          </w:p>
        </w:tc>
      </w:tr>
    </w:tbl>
    <w:p w14:paraId="36FF5686">
      <w:pPr>
        <w:tabs>
          <w:tab w:val="left" w:pos="2352"/>
        </w:tabs>
        <w:rPr>
          <w:rFonts w:ascii="宋体" w:cs="Arial"/>
          <w:bCs/>
          <w:color w:val="auto"/>
          <w:sz w:val="22"/>
          <w:highlight w:val="none"/>
        </w:rPr>
      </w:pPr>
    </w:p>
    <w:p w14:paraId="4674CE07">
      <w:pPr>
        <w:tabs>
          <w:tab w:val="left" w:pos="2352"/>
        </w:tabs>
        <w:rPr>
          <w:rFonts w:ascii="宋体" w:cs="Arial"/>
          <w:color w:val="auto"/>
          <w:sz w:val="22"/>
          <w:highlight w:val="none"/>
        </w:rPr>
      </w:pPr>
      <w:r>
        <w:rPr>
          <w:rFonts w:hint="eastAsia" w:ascii="宋体" w:cs="Arial"/>
          <w:bCs/>
          <w:color w:val="auto"/>
          <w:sz w:val="22"/>
          <w:highlight w:val="none"/>
        </w:rPr>
        <w:t>注</w:t>
      </w:r>
      <w:r>
        <w:rPr>
          <w:rFonts w:ascii="宋体" w:cs="Arial"/>
          <w:bCs/>
          <w:color w:val="auto"/>
          <w:sz w:val="22"/>
          <w:highlight w:val="none"/>
        </w:rPr>
        <w:t>：</w:t>
      </w:r>
      <w:r>
        <w:rPr>
          <w:rFonts w:ascii="宋体" w:cs="Arial"/>
          <w:color w:val="auto"/>
          <w:sz w:val="22"/>
          <w:highlight w:val="none"/>
        </w:rPr>
        <w:t>1</w:t>
      </w:r>
      <w:r>
        <w:rPr>
          <w:rFonts w:hint="eastAsia" w:ascii="宋体" w:cs="Arial"/>
          <w:color w:val="auto"/>
          <w:sz w:val="22"/>
          <w:highlight w:val="none"/>
        </w:rPr>
        <w:t>.</w:t>
      </w:r>
      <w:r>
        <w:rPr>
          <w:rFonts w:ascii="宋体" w:cs="Arial"/>
          <w:color w:val="auto"/>
          <w:sz w:val="22"/>
          <w:highlight w:val="none"/>
        </w:rPr>
        <w:t>不提供详细分项报价表将视为没有实质性响应</w:t>
      </w:r>
      <w:r>
        <w:rPr>
          <w:rFonts w:hint="eastAsia" w:ascii="宋体" w:cs="Arial"/>
          <w:color w:val="auto"/>
          <w:sz w:val="22"/>
          <w:highlight w:val="none"/>
        </w:rPr>
        <w:t>竞争性磋商文件</w:t>
      </w:r>
      <w:r>
        <w:rPr>
          <w:rFonts w:ascii="宋体" w:cs="Arial"/>
          <w:color w:val="auto"/>
          <w:sz w:val="22"/>
          <w:highlight w:val="none"/>
        </w:rPr>
        <w:t>。</w:t>
      </w:r>
    </w:p>
    <w:p w14:paraId="262E35FC">
      <w:pPr>
        <w:tabs>
          <w:tab w:val="left" w:pos="2352"/>
        </w:tabs>
        <w:ind w:firstLine="630"/>
        <w:rPr>
          <w:rFonts w:ascii="宋体" w:cs="Arial"/>
          <w:color w:val="auto"/>
          <w:sz w:val="22"/>
          <w:highlight w:val="none"/>
        </w:rPr>
      </w:pPr>
      <w:r>
        <w:rPr>
          <w:rFonts w:ascii="宋体" w:cs="Arial"/>
          <w:color w:val="auto"/>
          <w:sz w:val="22"/>
          <w:highlight w:val="none"/>
        </w:rPr>
        <w:t>2</w:t>
      </w:r>
      <w:r>
        <w:rPr>
          <w:rFonts w:hint="eastAsia" w:ascii="宋体" w:cs="Arial"/>
          <w:color w:val="auto"/>
          <w:sz w:val="22"/>
          <w:highlight w:val="none"/>
        </w:rPr>
        <w:t>.</w:t>
      </w:r>
      <w:r>
        <w:rPr>
          <w:rFonts w:ascii="宋体" w:cs="Arial"/>
          <w:color w:val="auto"/>
          <w:sz w:val="22"/>
          <w:highlight w:val="none"/>
        </w:rPr>
        <w:t>此表的合</w:t>
      </w:r>
      <w:r>
        <w:rPr>
          <w:rFonts w:hint="eastAsia" w:ascii="宋体" w:cs="Arial"/>
          <w:color w:val="auto"/>
          <w:sz w:val="22"/>
          <w:highlight w:val="none"/>
        </w:rPr>
        <w:t>计总</w:t>
      </w:r>
      <w:r>
        <w:rPr>
          <w:rFonts w:ascii="宋体" w:cs="Arial"/>
          <w:color w:val="auto"/>
          <w:sz w:val="22"/>
          <w:highlight w:val="none"/>
        </w:rPr>
        <w:t>价应与附</w:t>
      </w:r>
      <w:r>
        <w:rPr>
          <w:rFonts w:hint="eastAsia" w:ascii="宋体" w:cs="Arial"/>
          <w:color w:val="auto"/>
          <w:sz w:val="22"/>
          <w:highlight w:val="none"/>
        </w:rPr>
        <w:t>件一“开标（报价）一览表”投标总价相一</w:t>
      </w:r>
      <w:r>
        <w:rPr>
          <w:rFonts w:ascii="宋体" w:cs="Arial"/>
          <w:color w:val="auto"/>
          <w:sz w:val="22"/>
          <w:highlight w:val="none"/>
        </w:rPr>
        <w:t>致</w:t>
      </w:r>
      <w:r>
        <w:rPr>
          <w:rFonts w:ascii="宋体" w:cs="Arial"/>
          <w:b/>
          <w:bCs/>
          <w:color w:val="auto"/>
          <w:sz w:val="22"/>
          <w:highlight w:val="none"/>
        </w:rPr>
        <w:t>。</w:t>
      </w:r>
    </w:p>
    <w:p w14:paraId="40FA7F61">
      <w:pPr>
        <w:tabs>
          <w:tab w:val="left" w:pos="2352"/>
        </w:tabs>
        <w:ind w:firstLine="630"/>
        <w:rPr>
          <w:rFonts w:ascii="宋体" w:cs="Arial"/>
          <w:color w:val="auto"/>
          <w:sz w:val="22"/>
          <w:highlight w:val="none"/>
        </w:rPr>
      </w:pPr>
      <w:r>
        <w:rPr>
          <w:rFonts w:ascii="宋体" w:cs="Arial"/>
          <w:color w:val="auto"/>
          <w:sz w:val="22"/>
          <w:highlight w:val="none"/>
        </w:rPr>
        <w:t>3</w:t>
      </w:r>
      <w:r>
        <w:rPr>
          <w:rFonts w:hint="eastAsia" w:ascii="宋体" w:cs="Arial"/>
          <w:color w:val="auto"/>
          <w:sz w:val="22"/>
          <w:highlight w:val="none"/>
        </w:rPr>
        <w:t>.</w:t>
      </w:r>
      <w:r>
        <w:rPr>
          <w:rFonts w:ascii="宋体" w:cs="Arial"/>
          <w:color w:val="auto"/>
          <w:sz w:val="22"/>
          <w:highlight w:val="none"/>
        </w:rPr>
        <w:t>如果免费请在该备注栏</w:t>
      </w:r>
      <w:r>
        <w:rPr>
          <w:rFonts w:hint="eastAsia" w:ascii="宋体" w:cs="Arial"/>
          <w:color w:val="auto"/>
          <w:sz w:val="22"/>
          <w:highlight w:val="none"/>
        </w:rPr>
        <w:t>内注明“免”，如果含在产品价格中则填“含”，如无此项内容则填“无”，不留空白。</w:t>
      </w:r>
    </w:p>
    <w:p w14:paraId="0B35EBF6">
      <w:pPr>
        <w:tabs>
          <w:tab w:val="left" w:pos="2352"/>
        </w:tabs>
        <w:ind w:firstLine="630"/>
        <w:rPr>
          <w:rFonts w:ascii="宋体" w:cs="Arial"/>
          <w:color w:val="auto"/>
          <w:sz w:val="22"/>
          <w:highlight w:val="none"/>
        </w:rPr>
      </w:pPr>
      <w:r>
        <w:rPr>
          <w:rFonts w:ascii="宋体" w:cs="Arial"/>
          <w:color w:val="auto"/>
          <w:sz w:val="22"/>
          <w:highlight w:val="none"/>
        </w:rPr>
        <w:t>4</w:t>
      </w:r>
      <w:r>
        <w:rPr>
          <w:rFonts w:hint="eastAsia" w:ascii="宋体" w:cs="Arial"/>
          <w:color w:val="auto"/>
          <w:sz w:val="22"/>
          <w:highlight w:val="none"/>
        </w:rPr>
        <w:t>.根据《中华人民共和国政府采购法实施条例 》第四十三条规定，在中标或者成交公告的内容中可能增加本表，请各供应商认真填写，确保报价数据的真实性、完整性和合理性。</w:t>
      </w:r>
    </w:p>
    <w:p w14:paraId="5A565C91">
      <w:pPr>
        <w:ind w:firstLine="630"/>
        <w:rPr>
          <w:rFonts w:ascii="宋体" w:hAnsi="宋体" w:cs="宋体"/>
          <w:b/>
          <w:bCs/>
          <w:color w:val="auto"/>
          <w:sz w:val="22"/>
          <w:highlight w:val="none"/>
          <w:u w:val="single"/>
        </w:rPr>
      </w:pPr>
      <w:r>
        <w:rPr>
          <w:rFonts w:hint="eastAsia" w:ascii="宋体" w:cs="Arial"/>
          <w:color w:val="auto"/>
          <w:sz w:val="22"/>
          <w:highlight w:val="none"/>
        </w:rPr>
        <w:t>5.</w:t>
      </w:r>
      <w:r>
        <w:rPr>
          <w:rFonts w:hint="eastAsia" w:ascii="宋体" w:hAns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0C03AC6D">
      <w:pPr>
        <w:ind w:firstLine="630"/>
        <w:rPr>
          <w:color w:val="auto"/>
          <w:sz w:val="22"/>
          <w:highlight w:val="none"/>
          <w:u w:val="single"/>
        </w:rPr>
      </w:pPr>
      <w:r>
        <w:rPr>
          <w:rFonts w:hint="eastAsia" w:ascii="宋体" w:cs="Arial"/>
          <w:color w:val="auto"/>
          <w:sz w:val="22"/>
          <w:highlight w:val="none"/>
        </w:rPr>
        <w:t xml:space="preserve">6.表格可以延续。      </w:t>
      </w:r>
      <w:r>
        <w:rPr>
          <w:rFonts w:hint="eastAsia"/>
          <w:color w:val="auto"/>
          <w:sz w:val="22"/>
          <w:highlight w:val="none"/>
        </w:rPr>
        <w:t xml:space="preserve">      </w:t>
      </w:r>
      <w:r>
        <w:rPr>
          <w:rFonts w:hint="eastAsia" w:ascii="宋体" w:cs="Arial"/>
          <w:color w:val="auto"/>
          <w:sz w:val="22"/>
          <w:highlight w:val="none"/>
        </w:rPr>
        <w:t xml:space="preserve">    </w:t>
      </w:r>
      <w:r>
        <w:rPr>
          <w:rFonts w:hint="eastAsia"/>
          <w:color w:val="auto"/>
          <w:sz w:val="22"/>
          <w:highlight w:val="none"/>
        </w:rPr>
        <w:t xml:space="preserve">      </w:t>
      </w:r>
    </w:p>
    <w:p w14:paraId="71FF916C">
      <w:pPr>
        <w:tabs>
          <w:tab w:val="left" w:pos="2352"/>
        </w:tabs>
        <w:spacing w:line="440" w:lineRule="atLeast"/>
        <w:rPr>
          <w:rFonts w:hAnsi="宋体"/>
          <w:b/>
          <w:bCs/>
          <w:color w:val="auto"/>
          <w:sz w:val="22"/>
          <w:highlight w:val="none"/>
        </w:rPr>
      </w:pPr>
      <w:r>
        <w:rPr>
          <w:rFonts w:hint="eastAsia" w:hAnsi="宋体"/>
          <w:color w:val="auto"/>
          <w:sz w:val="22"/>
          <w:highlight w:val="none"/>
        </w:rPr>
        <w:t>供应商全称：（盖章）</w:t>
      </w:r>
    </w:p>
    <w:p w14:paraId="78E16AFA">
      <w:pPr>
        <w:tabs>
          <w:tab w:val="left" w:pos="2352"/>
        </w:tabs>
        <w:spacing w:line="440" w:lineRule="atLeast"/>
        <w:rPr>
          <w:rFonts w:hAnsi="宋体"/>
          <w:color w:val="auto"/>
          <w:sz w:val="22"/>
          <w:highlight w:val="none"/>
          <w:lang w:val="zh-CN"/>
        </w:rPr>
      </w:pPr>
      <w:r>
        <w:rPr>
          <w:rFonts w:hint="eastAsia" w:hAnsi="宋体"/>
          <w:color w:val="auto"/>
          <w:sz w:val="22"/>
          <w:highlight w:val="none"/>
        </w:rPr>
        <w:t>法定代表人（签字或盖章）或</w:t>
      </w:r>
      <w:r>
        <w:rPr>
          <w:rFonts w:hint="eastAsia" w:hAnsi="宋体"/>
          <w:color w:val="auto"/>
          <w:sz w:val="22"/>
          <w:highlight w:val="none"/>
          <w:lang w:val="zh-CN"/>
        </w:rPr>
        <w:t>授权代表（签字）：</w:t>
      </w:r>
    </w:p>
    <w:p w14:paraId="62106D06">
      <w:pPr>
        <w:tabs>
          <w:tab w:val="left" w:pos="2352"/>
        </w:tabs>
        <w:spacing w:line="440" w:lineRule="atLeast"/>
        <w:rPr>
          <w:rFonts w:hAnsi="宋体"/>
          <w:color w:val="auto"/>
          <w:sz w:val="22"/>
          <w:highlight w:val="none"/>
        </w:rPr>
      </w:pPr>
      <w:r>
        <w:rPr>
          <w:rFonts w:hint="eastAsia" w:hAnsi="宋体"/>
          <w:color w:val="auto"/>
          <w:sz w:val="22"/>
          <w:highlight w:val="none"/>
        </w:rPr>
        <w:t>日期：</w:t>
      </w:r>
    </w:p>
    <w:p w14:paraId="3384EF8F">
      <w:pPr>
        <w:tabs>
          <w:tab w:val="left" w:pos="1069"/>
          <w:tab w:val="left" w:pos="2352"/>
        </w:tabs>
        <w:snapToGrid w:val="0"/>
        <w:spacing w:line="440" w:lineRule="exact"/>
        <w:rPr>
          <w:rFonts w:ascii="宋体" w:hAnsi="宋体" w:cs="宋体"/>
          <w:b/>
          <w:bCs/>
          <w:color w:val="auto"/>
          <w:sz w:val="22"/>
          <w:highlight w:val="none"/>
        </w:rPr>
      </w:pPr>
    </w:p>
    <w:p w14:paraId="4370F398">
      <w:pPr>
        <w:tabs>
          <w:tab w:val="left" w:pos="1069"/>
          <w:tab w:val="left" w:pos="2352"/>
        </w:tabs>
        <w:snapToGrid w:val="0"/>
        <w:spacing w:line="440" w:lineRule="exact"/>
        <w:rPr>
          <w:rFonts w:hint="eastAsia" w:ascii="宋体" w:hAnsi="宋体" w:cs="宋体"/>
          <w:b/>
          <w:bCs/>
          <w:color w:val="auto"/>
          <w:sz w:val="22"/>
          <w:highlight w:val="none"/>
        </w:rPr>
      </w:pPr>
    </w:p>
    <w:p w14:paraId="1A19D020">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w:t>
      </w:r>
      <w:r>
        <w:rPr>
          <w:rFonts w:hint="eastAsia" w:ascii="宋体" w:hAnsi="宋体" w:cs="宋体"/>
          <w:b/>
          <w:bCs/>
          <w:color w:val="auto"/>
          <w:sz w:val="22"/>
          <w:highlight w:val="none"/>
          <w:lang w:val="en-US" w:eastAsia="zh-CN"/>
        </w:rPr>
        <w:t>《资格文件》</w:t>
      </w:r>
      <w:r>
        <w:rPr>
          <w:rFonts w:hint="eastAsia" w:ascii="宋体" w:hAnsi="宋体" w:cs="宋体"/>
          <w:b/>
          <w:bCs/>
          <w:color w:val="auto"/>
          <w:sz w:val="22"/>
          <w:highlight w:val="none"/>
          <w:lang w:val="zh-CN"/>
        </w:rPr>
        <w:t>投标文件格式</w:t>
      </w:r>
    </w:p>
    <w:p w14:paraId="26376BCA">
      <w:pPr>
        <w:pStyle w:val="2"/>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lang w:val="en-US" w:eastAsia="zh-CN"/>
        </w:rPr>
        <w:t>《资格文件》</w:t>
      </w:r>
      <w:r>
        <w:rPr>
          <w:rFonts w:hint="eastAsia" w:ascii="宋体" w:hAnsi="宋体" w:cs="宋体"/>
          <w:b/>
          <w:bCs/>
          <w:color w:val="auto"/>
          <w:sz w:val="22"/>
          <w:highlight w:val="none"/>
          <w:lang w:val="zh-CN"/>
        </w:rPr>
        <w:t>投标文件</w:t>
      </w:r>
      <w:r>
        <w:rPr>
          <w:rFonts w:hint="eastAsia" w:ascii="宋体" w:hAnsi="宋体" w:cs="宋体"/>
          <w:color w:val="auto"/>
          <w:sz w:val="22"/>
          <w:szCs w:val="22"/>
          <w:highlight w:val="none"/>
        </w:rPr>
        <w:t>封面参考：</w:t>
      </w:r>
    </w:p>
    <w:p w14:paraId="2D476144">
      <w:pPr>
        <w:tabs>
          <w:tab w:val="left" w:pos="1069"/>
          <w:tab w:val="left" w:pos="2352"/>
        </w:tabs>
        <w:spacing w:line="480" w:lineRule="auto"/>
        <w:jc w:val="center"/>
        <w:rPr>
          <w:rFonts w:ascii="宋体" w:hAnsi="宋体" w:cs="宋体"/>
          <w:b/>
          <w:color w:val="auto"/>
          <w:sz w:val="64"/>
          <w:szCs w:val="64"/>
          <w:highlight w:val="none"/>
        </w:rPr>
      </w:pPr>
    </w:p>
    <w:p w14:paraId="242E694D">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泰顺县包垟乡环卫保洁服务</w:t>
      </w:r>
    </w:p>
    <w:p w14:paraId="6B9FE33C">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3E14F4DB">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2DB28F03">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0A8E3994">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1F5F5FE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ED5DA9">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330329265190010000001-TSCG202606003</w:t>
            </w:r>
          </w:p>
        </w:tc>
      </w:tr>
      <w:tr w14:paraId="751862E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CFE9974">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泰顺县包垟乡人民政府</w:t>
            </w:r>
          </w:p>
        </w:tc>
      </w:tr>
      <w:tr w14:paraId="51B8786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6C308D11">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7DA0513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5806F971">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EB542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7B3FE940">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7C4BE2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71D360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1D00ACB1">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1655CC30">
      <w:pPr>
        <w:tabs>
          <w:tab w:val="left" w:pos="1069"/>
          <w:tab w:val="left" w:pos="2352"/>
        </w:tabs>
        <w:rPr>
          <w:color w:val="auto"/>
          <w:highlight w:val="none"/>
          <w:lang w:val="zh-CN"/>
        </w:rPr>
      </w:pPr>
    </w:p>
    <w:p w14:paraId="5F887661">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4070328B">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2289FAFF">
      <w:pPr>
        <w:pStyle w:val="2"/>
        <w:rPr>
          <w:rFonts w:hint="eastAsia" w:ascii="宋体" w:hAnsi="宋体" w:cs="宋体"/>
          <w:b/>
          <w:bCs/>
          <w:color w:val="auto"/>
          <w:sz w:val="30"/>
          <w:highlight w:val="none"/>
          <w:lang w:val="zh-CN"/>
        </w:rPr>
      </w:pPr>
    </w:p>
    <w:p w14:paraId="2055880D">
      <w:pPr>
        <w:pStyle w:val="3"/>
        <w:rPr>
          <w:rFonts w:hint="eastAsia"/>
          <w:color w:val="auto"/>
          <w:highlight w:val="none"/>
          <w:lang w:val="zh-CN"/>
        </w:rPr>
      </w:pPr>
    </w:p>
    <w:p w14:paraId="19CC3B3E">
      <w:pPr>
        <w:tabs>
          <w:tab w:val="left" w:pos="1069"/>
          <w:tab w:val="left" w:pos="2352"/>
        </w:tabs>
        <w:autoSpaceDE w:val="0"/>
        <w:autoSpaceDN w:val="0"/>
        <w:adjustRightInd w:val="0"/>
        <w:spacing w:line="460" w:lineRule="atLeast"/>
        <w:rPr>
          <w:rFonts w:ascii="宋体" w:hAnsi="宋体" w:cs="宋体"/>
          <w:color w:val="auto"/>
          <w:sz w:val="30"/>
          <w:highlight w:val="none"/>
          <w:lang w:val="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三</w:t>
      </w:r>
    </w:p>
    <w:p w14:paraId="7CB4154C">
      <w:pPr>
        <w:autoSpaceDE w:val="0"/>
        <w:autoSpaceDN w:val="0"/>
        <w:adjustRightInd w:val="0"/>
        <w:spacing w:line="460" w:lineRule="atLeast"/>
        <w:jc w:val="center"/>
        <w:rPr>
          <w:rFonts w:ascii="宋体" w:eastAsia="宋体" w:cs="宋体"/>
          <w:b/>
          <w:bCs/>
          <w:color w:val="auto"/>
          <w:sz w:val="30"/>
          <w:highlight w:val="none"/>
          <w:lang w:val="zh-CN"/>
        </w:rPr>
      </w:pPr>
      <w:bookmarkStart w:id="89" w:name="_Toc11360"/>
      <w:bookmarkStart w:id="90" w:name="_Toc10630"/>
      <w:bookmarkStart w:id="91" w:name="_Toc31544"/>
      <w:bookmarkStart w:id="92" w:name="_Toc18304"/>
      <w:bookmarkStart w:id="93" w:name="_Toc31784"/>
      <w:bookmarkStart w:id="94" w:name="_Toc6606"/>
      <w:bookmarkStart w:id="95" w:name="_Toc33194406"/>
      <w:bookmarkStart w:id="96" w:name="_Toc14988"/>
      <w:bookmarkStart w:id="97" w:name="_Toc14589"/>
      <w:bookmarkStart w:id="98" w:name="_Toc27119255"/>
      <w:bookmarkStart w:id="99" w:name="_Toc13669"/>
      <w:bookmarkStart w:id="100" w:name="_Toc28957"/>
      <w:r>
        <w:rPr>
          <w:rFonts w:hint="eastAsia" w:ascii="宋体" w:eastAsia="宋体" w:cs="宋体"/>
          <w:b/>
          <w:bCs/>
          <w:color w:val="auto"/>
          <w:sz w:val="30"/>
          <w:highlight w:val="none"/>
          <w:lang w:val="zh-CN"/>
        </w:rPr>
        <w:t>符合参加政府采购活动应当具备的一般条件的承诺函</w:t>
      </w:r>
    </w:p>
    <w:p w14:paraId="0BFD3FBB">
      <w:pPr>
        <w:snapToGrid w:val="0"/>
        <w:spacing w:line="360" w:lineRule="auto"/>
        <w:rPr>
          <w:rFonts w:ascii="宋体" w:hAnsi="宋体" w:cs="宋体"/>
          <w:color w:val="auto"/>
          <w:sz w:val="22"/>
          <w:highlight w:val="none"/>
          <w:u w:val="single"/>
        </w:rPr>
      </w:pPr>
    </w:p>
    <w:p w14:paraId="4D899EF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bCs/>
          <w:color w:val="auto"/>
          <w:sz w:val="22"/>
          <w:highlight w:val="none"/>
        </w:rPr>
      </w:pPr>
      <w:r>
        <w:rPr>
          <w:rFonts w:hint="eastAsia" w:ascii="宋体" w:hAnsi="宋体" w:cs="宋体"/>
          <w:bCs/>
          <w:color w:val="auto"/>
          <w:sz w:val="22"/>
          <w:highlight w:val="none"/>
          <w:u w:val="single"/>
          <w:lang w:eastAsia="zh-CN"/>
        </w:rPr>
        <w:t>泰顺县包垟乡人民政府</w:t>
      </w:r>
      <w:r>
        <w:rPr>
          <w:rFonts w:hint="eastAsia" w:ascii="宋体" w:hAnsi="宋体" w:cs="宋体"/>
          <w:bCs/>
          <w:color w:val="auto"/>
          <w:sz w:val="22"/>
          <w:highlight w:val="none"/>
          <w:u w:val="single"/>
        </w:rPr>
        <w:t>、</w:t>
      </w:r>
      <w:r>
        <w:rPr>
          <w:rFonts w:hint="eastAsia" w:ascii="宋体" w:hAnsi="宋体" w:cs="宋体"/>
          <w:bCs/>
          <w:color w:val="auto"/>
          <w:sz w:val="22"/>
          <w:highlight w:val="none"/>
          <w:u w:val="single"/>
          <w:lang w:eastAsia="zh-CN"/>
        </w:rPr>
        <w:t>台州嘉亿招标代理有限责任公司</w:t>
      </w:r>
      <w:r>
        <w:rPr>
          <w:rFonts w:hint="eastAsia" w:ascii="宋体" w:hAnsi="宋体" w:cs="宋体"/>
          <w:bCs/>
          <w:color w:val="auto"/>
          <w:sz w:val="22"/>
          <w:highlight w:val="none"/>
        </w:rPr>
        <w:t>：</w:t>
      </w:r>
    </w:p>
    <w:p w14:paraId="09E994FE">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我方参与</w:t>
      </w:r>
      <w:r>
        <w:rPr>
          <w:rFonts w:hint="eastAsia" w:ascii="宋体" w:hAnsi="宋体" w:cs="宋体"/>
          <w:bCs/>
          <w:color w:val="auto"/>
          <w:sz w:val="22"/>
          <w:highlight w:val="none"/>
          <w:u w:val="single"/>
        </w:rPr>
        <w:t xml:space="preserve">  </w:t>
      </w:r>
      <w:r>
        <w:rPr>
          <w:rFonts w:hint="eastAsia" w:ascii="宋体" w:hAnsi="宋体" w:cs="宋体"/>
          <w:bCs/>
          <w:color w:val="auto"/>
          <w:sz w:val="22"/>
          <w:highlight w:val="none"/>
          <w:u w:val="single"/>
          <w:lang w:eastAsia="zh-CN"/>
        </w:rPr>
        <w:t>泰顺县包垟乡环卫保洁服务</w:t>
      </w:r>
      <w:r>
        <w:rPr>
          <w:rFonts w:hint="eastAsia" w:ascii="宋体" w:cs="宋体"/>
          <w:bCs/>
          <w:color w:val="auto"/>
          <w:sz w:val="22"/>
          <w:highlight w:val="none"/>
          <w:u w:val="single"/>
        </w:rPr>
        <w:t xml:space="preserve"> </w:t>
      </w:r>
      <w:r>
        <w:rPr>
          <w:rFonts w:hint="eastAsia" w:ascii="宋体" w:hAnsi="宋体" w:cs="宋体"/>
          <w:bCs/>
          <w:color w:val="auto"/>
          <w:sz w:val="22"/>
          <w:highlight w:val="none"/>
          <w:u w:val="single"/>
        </w:rPr>
        <w:t>（项目编号：</w:t>
      </w:r>
      <w:r>
        <w:rPr>
          <w:rFonts w:hint="eastAsia" w:ascii="宋体" w:cs="宋体"/>
          <w:bCs/>
          <w:color w:val="auto"/>
          <w:sz w:val="22"/>
          <w:highlight w:val="none"/>
          <w:u w:val="single"/>
          <w:lang w:eastAsia="zh-CN"/>
        </w:rPr>
        <w:t>330329265190010000001-TSCG202606003</w:t>
      </w:r>
      <w:r>
        <w:rPr>
          <w:rFonts w:hint="eastAsia" w:ascii="宋体" w:hAnsi="宋体" w:cs="宋体"/>
          <w:bCs/>
          <w:color w:val="auto"/>
          <w:sz w:val="22"/>
          <w:highlight w:val="none"/>
          <w:u w:val="single"/>
        </w:rPr>
        <w:t>）</w:t>
      </w:r>
      <w:r>
        <w:rPr>
          <w:rFonts w:hint="eastAsia" w:ascii="宋体" w:hAnsi="宋体" w:cs="宋体"/>
          <w:bCs/>
          <w:color w:val="auto"/>
          <w:sz w:val="22"/>
          <w:highlight w:val="none"/>
        </w:rPr>
        <w:t>政府采购活动，郑重承诺：</w:t>
      </w:r>
    </w:p>
    <w:p w14:paraId="51A855F0">
      <w:pPr>
        <w:keepNext w:val="0"/>
        <w:keepLines w:val="0"/>
        <w:pageBreakBefore w:val="0"/>
        <w:widowControl w:val="0"/>
        <w:kinsoku/>
        <w:wordWrap/>
        <w:overflowPunct/>
        <w:topLinePunct w:val="0"/>
        <w:autoSpaceDE/>
        <w:autoSpaceDN/>
        <w:bidi w:val="0"/>
        <w:adjustRightInd/>
        <w:snapToGrid w:val="0"/>
        <w:spacing w:line="360" w:lineRule="exact"/>
        <w:ind w:firstLine="334" w:firstLineChars="150"/>
        <w:textAlignment w:val="auto"/>
        <w:rPr>
          <w:rFonts w:ascii="宋体" w:hAnsi="宋体" w:cs="宋体"/>
          <w:bCs/>
          <w:color w:val="auto"/>
          <w:sz w:val="22"/>
          <w:highlight w:val="none"/>
        </w:rPr>
      </w:pPr>
      <w:r>
        <w:rPr>
          <w:rFonts w:hint="eastAsia" w:ascii="宋体" w:hAnsi="宋体" w:cs="宋体"/>
          <w:bCs/>
          <w:color w:val="auto"/>
          <w:sz w:val="22"/>
          <w:highlight w:val="none"/>
        </w:rPr>
        <w:t>（一）具备《中华人民共和国政府采购法》第二十二条规定的条件：</w:t>
      </w:r>
    </w:p>
    <w:p w14:paraId="6940B3B3">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lang w:eastAsia="zh-CN"/>
        </w:rPr>
        <w:t>1.</w:t>
      </w:r>
      <w:r>
        <w:rPr>
          <w:rFonts w:hint="eastAsia" w:ascii="宋体" w:hAnsi="宋体" w:cs="宋体"/>
          <w:bCs/>
          <w:color w:val="auto"/>
          <w:sz w:val="22"/>
          <w:highlight w:val="none"/>
        </w:rPr>
        <w:t>具有独立承担民事责任的能力；</w:t>
      </w:r>
    </w:p>
    <w:p w14:paraId="51CAC64D">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lang w:eastAsia="zh-CN"/>
        </w:rPr>
        <w:t>2.</w:t>
      </w:r>
      <w:r>
        <w:rPr>
          <w:rFonts w:hint="eastAsia" w:ascii="宋体" w:hAnsi="宋体" w:cs="宋体"/>
          <w:bCs/>
          <w:color w:val="auto"/>
          <w:sz w:val="22"/>
          <w:highlight w:val="none"/>
        </w:rPr>
        <w:t xml:space="preserve">具有良好的商业信誉和健全的财务会计制度； </w:t>
      </w:r>
    </w:p>
    <w:p w14:paraId="48F42809">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lang w:eastAsia="zh-CN"/>
        </w:rPr>
        <w:t>3.</w:t>
      </w:r>
      <w:r>
        <w:rPr>
          <w:rFonts w:hint="eastAsia" w:ascii="宋体" w:hAnsi="宋体" w:cs="宋体"/>
          <w:bCs/>
          <w:color w:val="auto"/>
          <w:sz w:val="22"/>
          <w:highlight w:val="none"/>
        </w:rPr>
        <w:t>具有履行合同所必需的设备和专业技术能力；</w:t>
      </w:r>
    </w:p>
    <w:p w14:paraId="277A4D8A">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lang w:eastAsia="zh-CN"/>
        </w:rPr>
        <w:t>4.</w:t>
      </w:r>
      <w:r>
        <w:rPr>
          <w:rFonts w:hint="eastAsia" w:ascii="宋体" w:hAnsi="宋体" w:cs="宋体"/>
          <w:bCs/>
          <w:color w:val="auto"/>
          <w:sz w:val="22"/>
          <w:highlight w:val="none"/>
        </w:rPr>
        <w:t>有依法缴纳税收和社会保障资金的良好记录；</w:t>
      </w:r>
    </w:p>
    <w:p w14:paraId="534FC4F1">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lang w:eastAsia="zh-CN"/>
        </w:rPr>
        <w:t>5.</w:t>
      </w:r>
      <w:r>
        <w:rPr>
          <w:rFonts w:hint="eastAsia" w:ascii="宋体" w:hAnsi="宋体" w:cs="宋体"/>
          <w:bCs/>
          <w:color w:val="auto"/>
          <w:sz w:val="22"/>
          <w:highlight w:val="none"/>
        </w:rPr>
        <w:t>参加政府采购活动前三年内，在经营活动中没有重大违法记录；</w:t>
      </w:r>
    </w:p>
    <w:p w14:paraId="2DF53E98">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lang w:eastAsia="zh-CN"/>
        </w:rPr>
        <w:t>6.</w:t>
      </w:r>
      <w:r>
        <w:rPr>
          <w:rFonts w:hint="eastAsia" w:ascii="宋体" w:hAnsi="宋体" w:cs="宋体"/>
          <w:bCs/>
          <w:color w:val="auto"/>
          <w:sz w:val="22"/>
          <w:highlight w:val="none"/>
        </w:rPr>
        <w:t>具有法律、行政法规规定的其他条件。</w:t>
      </w:r>
    </w:p>
    <w:p w14:paraId="795024C3">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（二）未被信用中国（www.creditchina.gov.cn)、中国政府采购网（www.ccgp.gov.cn）列入失信被执行人、</w:t>
      </w:r>
      <w:r>
        <w:rPr>
          <w:rFonts w:hint="eastAsia" w:ascii="宋体" w:hAnsi="宋体" w:cs="宋体"/>
          <w:bCs/>
          <w:color w:val="auto"/>
          <w:sz w:val="22"/>
          <w:highlight w:val="none"/>
          <w:lang w:eastAsia="zh-CN"/>
        </w:rPr>
        <w:t>重大税收违法失信主体</w:t>
      </w:r>
      <w:r>
        <w:rPr>
          <w:rFonts w:hint="eastAsia" w:ascii="宋体" w:hAnsi="宋体" w:cs="宋体"/>
          <w:bCs/>
          <w:color w:val="auto"/>
          <w:sz w:val="22"/>
          <w:highlight w:val="none"/>
        </w:rPr>
        <w:t>、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30393568">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（三）不存在以下情况：</w:t>
      </w:r>
    </w:p>
    <w:p w14:paraId="24CCF1CE">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lang w:eastAsia="zh-CN"/>
        </w:rPr>
        <w:t>1.</w:t>
      </w:r>
      <w:r>
        <w:rPr>
          <w:rFonts w:hint="eastAsia" w:ascii="宋体" w:hAnsi="宋体" w:cs="宋体"/>
          <w:bCs/>
          <w:color w:val="auto"/>
          <w:sz w:val="22"/>
          <w:highlight w:val="none"/>
        </w:rPr>
        <w:t>单位负责人为同一人或者存在直接控股、管理关系的不同供应商参加同一合同项下的政府采购活动的；</w:t>
      </w:r>
    </w:p>
    <w:p w14:paraId="267FB2F6">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lang w:eastAsia="zh-CN"/>
        </w:rPr>
        <w:t>2.</w:t>
      </w:r>
      <w:r>
        <w:rPr>
          <w:rFonts w:hint="eastAsia" w:ascii="宋体" w:hAnsi="宋体" w:cs="宋体"/>
          <w:bCs/>
          <w:color w:val="auto"/>
          <w:sz w:val="22"/>
          <w:highlight w:val="none"/>
        </w:rPr>
        <w:t>为采购项目提供整体设计、规范编制或者项目管理、监理、检测等服务后再参加该采购项目的其他采购活动的。</w:t>
      </w:r>
    </w:p>
    <w:p w14:paraId="3F2003F0">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宋体"/>
          <w:bCs/>
          <w:color w:val="auto"/>
          <w:sz w:val="22"/>
          <w:highlight w:val="none"/>
        </w:rPr>
      </w:pPr>
      <w:r>
        <w:rPr>
          <w:rFonts w:hint="eastAsia" w:ascii="宋体" w:hAnsi="宋体" w:cs="宋体"/>
          <w:bCs/>
          <w:color w:val="auto"/>
          <w:sz w:val="22"/>
          <w:highlight w:val="none"/>
        </w:rPr>
        <w:t>（四）如有虚假，采购人可取消我方任何资格（投标/中标/签订合同），我方对此无任何异议。</w:t>
      </w:r>
    </w:p>
    <w:p w14:paraId="23F4E909">
      <w:pPr>
        <w:keepNext w:val="0"/>
        <w:keepLines w:val="0"/>
        <w:pageBreakBefore w:val="0"/>
        <w:widowControl w:val="0"/>
        <w:kinsoku/>
        <w:wordWrap/>
        <w:overflowPunct/>
        <w:topLinePunct w:val="0"/>
        <w:autoSpaceDE/>
        <w:autoSpaceDN/>
        <w:bidi w:val="0"/>
        <w:adjustRightInd/>
        <w:spacing w:line="360" w:lineRule="exact"/>
        <w:ind w:firstLine="4460" w:firstLineChars="2000"/>
        <w:textAlignment w:val="auto"/>
        <w:rPr>
          <w:rFonts w:ascii="宋体" w:hAnsi="宋体" w:cs="宋体"/>
          <w:bCs/>
          <w:color w:val="auto"/>
          <w:sz w:val="22"/>
          <w:highlight w:val="none"/>
        </w:rPr>
      </w:pPr>
    </w:p>
    <w:p w14:paraId="19742572">
      <w:pPr>
        <w:keepNext w:val="0"/>
        <w:keepLines w:val="0"/>
        <w:pageBreakBefore w:val="0"/>
        <w:widowControl w:val="0"/>
        <w:kinsoku/>
        <w:wordWrap/>
        <w:overflowPunct/>
        <w:topLinePunct w:val="0"/>
        <w:autoSpaceDE/>
        <w:autoSpaceDN/>
        <w:bidi w:val="0"/>
        <w:adjustRightInd/>
        <w:spacing w:line="360" w:lineRule="exact"/>
        <w:ind w:firstLine="4906" w:firstLineChars="2200"/>
        <w:textAlignment w:val="auto"/>
        <w:rPr>
          <w:rFonts w:ascii="宋体" w:hAnsi="宋体" w:cs="宋体"/>
          <w:bCs/>
          <w:color w:val="auto"/>
          <w:sz w:val="22"/>
          <w:highlight w:val="none"/>
        </w:rPr>
      </w:pPr>
      <w:r>
        <w:rPr>
          <w:rFonts w:hint="eastAsia" w:ascii="宋体" w:hAnsi="宋体" w:cs="宋体"/>
          <w:bCs/>
          <w:color w:val="auto"/>
          <w:sz w:val="22"/>
          <w:highlight w:val="none"/>
        </w:rPr>
        <w:t>供应商名称（公章）：</w:t>
      </w:r>
    </w:p>
    <w:p w14:paraId="6A445578">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bCs/>
          <w:color w:val="auto"/>
          <w:sz w:val="22"/>
          <w:highlight w:val="none"/>
        </w:rPr>
      </w:pPr>
      <w:r>
        <w:rPr>
          <w:rFonts w:hint="eastAsia" w:ascii="宋体" w:hAnsi="宋体" w:cs="宋体"/>
          <w:bCs/>
          <w:color w:val="auto"/>
          <w:sz w:val="22"/>
          <w:highlight w:val="none"/>
        </w:rPr>
        <w:t xml:space="preserve">                       日期：  年  月  日</w:t>
      </w:r>
    </w:p>
    <w:p w14:paraId="05BADBC8">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宋体"/>
          <w:bCs/>
          <w:color w:val="auto"/>
          <w:sz w:val="22"/>
          <w:highlight w:val="none"/>
        </w:rPr>
      </w:pPr>
    </w:p>
    <w:p w14:paraId="408F66FB">
      <w:pPr>
        <w:keepNext w:val="0"/>
        <w:keepLines w:val="0"/>
        <w:pageBreakBefore w:val="0"/>
        <w:widowControl w:val="0"/>
        <w:kinsoku/>
        <w:wordWrap/>
        <w:overflowPunct/>
        <w:topLinePunct w:val="0"/>
        <w:autoSpaceDE/>
        <w:autoSpaceDN/>
        <w:bidi w:val="0"/>
        <w:adjustRightInd/>
        <w:snapToGrid w:val="0"/>
        <w:spacing w:line="360" w:lineRule="exact"/>
        <w:ind w:right="480" w:firstLine="446" w:firstLineChars="200"/>
        <w:jc w:val="left"/>
        <w:textAlignment w:val="auto"/>
        <w:rPr>
          <w:rFonts w:ascii="宋体" w:hAnsi="宋体" w:cs="宋体"/>
          <w:bCs/>
          <w:color w:val="auto"/>
          <w:sz w:val="22"/>
          <w:highlight w:val="none"/>
        </w:rPr>
      </w:pPr>
      <w:r>
        <w:rPr>
          <w:rFonts w:hint="eastAsia" w:ascii="宋体" w:hAnsi="宋体" w:cs="宋体"/>
          <w:bCs/>
          <w:color w:val="auto"/>
          <w:sz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宋体"/>
          <w:bCs/>
          <w:color w:val="auto"/>
          <w:sz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3AE9CCAF">
      <w:pPr>
        <w:rPr>
          <w:rFonts w:ascii="宋体" w:hAnsi="宋体" w:cs="宋体"/>
          <w:bCs/>
          <w:color w:val="auto"/>
          <w:sz w:val="22"/>
          <w:highlight w:val="none"/>
        </w:rPr>
      </w:pPr>
    </w:p>
    <w:bookmarkEnd w:id="89"/>
    <w:bookmarkEnd w:id="90"/>
    <w:bookmarkEnd w:id="91"/>
    <w:bookmarkEnd w:id="92"/>
    <w:bookmarkEnd w:id="93"/>
    <w:bookmarkEnd w:id="94"/>
    <w:bookmarkEnd w:id="95"/>
    <w:bookmarkEnd w:id="96"/>
    <w:bookmarkEnd w:id="97"/>
    <w:bookmarkEnd w:id="98"/>
    <w:bookmarkEnd w:id="99"/>
    <w:bookmarkEnd w:id="100"/>
    <w:p w14:paraId="08FCC7E3">
      <w:pPr>
        <w:tabs>
          <w:tab w:val="left" w:pos="1069"/>
          <w:tab w:val="left" w:pos="2352"/>
        </w:tabs>
        <w:spacing w:line="360" w:lineRule="exact"/>
        <w:jc w:val="left"/>
        <w:rPr>
          <w:rFonts w:hint="eastAsia" w:ascii="宋体" w:hAnsi="宋体" w:cs="宋体"/>
          <w:b/>
          <w:bCs/>
          <w:color w:val="auto"/>
          <w:sz w:val="30"/>
          <w:highlight w:val="none"/>
        </w:rPr>
      </w:pPr>
    </w:p>
    <w:p w14:paraId="06EF824A">
      <w:pPr>
        <w:tabs>
          <w:tab w:val="left" w:pos="1069"/>
          <w:tab w:val="left" w:pos="2352"/>
        </w:tabs>
        <w:spacing w:line="360" w:lineRule="exact"/>
        <w:jc w:val="left"/>
        <w:rPr>
          <w:rFonts w:hint="eastAsia" w:ascii="宋体" w:hAnsi="宋体" w:cs="宋体"/>
          <w:b/>
          <w:bCs/>
          <w:color w:val="auto"/>
          <w:sz w:val="30"/>
          <w:highlight w:val="none"/>
        </w:rPr>
      </w:pPr>
    </w:p>
    <w:p w14:paraId="1BA85586">
      <w:pPr>
        <w:tabs>
          <w:tab w:val="left" w:pos="1069"/>
          <w:tab w:val="left" w:pos="2352"/>
        </w:tabs>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附件四</w:t>
      </w:r>
    </w:p>
    <w:p w14:paraId="67DB63DF">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101" w:name="_Toc32552_WPSOffice_Level3"/>
      <w:r>
        <w:rPr>
          <w:rFonts w:hint="eastAsia" w:ascii="宋体" w:hAnsi="宋体" w:cs="宋体"/>
          <w:b/>
          <w:bCs/>
          <w:color w:val="auto"/>
          <w:sz w:val="32"/>
          <w:highlight w:val="none"/>
          <w:lang w:val="zh-CN"/>
        </w:rPr>
        <w:t>法定代表人授权书</w:t>
      </w:r>
      <w:bookmarkEnd w:id="101"/>
    </w:p>
    <w:p w14:paraId="7E6C650B">
      <w:pPr>
        <w:tabs>
          <w:tab w:val="left" w:pos="1069"/>
          <w:tab w:val="left" w:pos="2352"/>
        </w:tabs>
        <w:autoSpaceDE w:val="0"/>
        <w:autoSpaceDN w:val="0"/>
        <w:adjustRightInd w:val="0"/>
        <w:spacing w:line="360" w:lineRule="exact"/>
        <w:jc w:val="center"/>
        <w:rPr>
          <w:rFonts w:ascii="宋体" w:hAnsi="宋体" w:cs="宋体"/>
          <w:color w:val="auto"/>
          <w:sz w:val="36"/>
          <w:highlight w:val="none"/>
          <w:lang w:val="zh-CN"/>
        </w:rPr>
      </w:pPr>
    </w:p>
    <w:p w14:paraId="709CC599">
      <w:pPr>
        <w:tabs>
          <w:tab w:val="left" w:pos="1069"/>
          <w:tab w:val="left" w:pos="2352"/>
        </w:tabs>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泰顺县包垟乡人民政府</w:t>
      </w:r>
      <w:r>
        <w:rPr>
          <w:rFonts w:hint="eastAsia" w:ascii="宋体" w:hAnsi="宋体" w:cs="宋体"/>
          <w:color w:val="auto"/>
          <w:sz w:val="22"/>
          <w:highlight w:val="none"/>
          <w:lang w:val="zh-CN"/>
        </w:rPr>
        <w:t>：</w:t>
      </w:r>
    </w:p>
    <w:p w14:paraId="1723B6CB">
      <w:pPr>
        <w:tabs>
          <w:tab w:val="left" w:pos="1069"/>
          <w:tab w:val="left" w:pos="2352"/>
        </w:tabs>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lang w:eastAsia="zh-CN"/>
        </w:rPr>
        <w:t>泰顺县包垟乡环卫保洁服务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330329265190010000001-TSCG202606003</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项目投标，全权处理本次招投标活动中的一切事宜，我承认授权代表全权代表我所签署的本项目的投标（响应）文件的内容。</w:t>
      </w:r>
    </w:p>
    <w:p w14:paraId="7F5181FA">
      <w:pPr>
        <w:tabs>
          <w:tab w:val="left" w:pos="1069"/>
          <w:tab w:val="left" w:pos="2352"/>
        </w:tabs>
        <w:spacing w:line="400" w:lineRule="atLeast"/>
        <w:ind w:firstLine="446" w:firstLineChars="200"/>
        <w:rPr>
          <w:rFonts w:ascii="宋体" w:hAnsi="宋体" w:cs="宋体"/>
          <w:color w:val="auto"/>
          <w:sz w:val="22"/>
          <w:highlight w:val="none"/>
        </w:rPr>
      </w:pPr>
    </w:p>
    <w:p w14:paraId="3191A238">
      <w:pPr>
        <w:tabs>
          <w:tab w:val="left" w:pos="1069"/>
          <w:tab w:val="left" w:pos="2352"/>
        </w:tabs>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2BA225CA">
      <w:pPr>
        <w:tabs>
          <w:tab w:val="left" w:pos="1069"/>
          <w:tab w:val="left" w:pos="2352"/>
        </w:tabs>
        <w:spacing w:line="400" w:lineRule="atLeast"/>
        <w:rPr>
          <w:rFonts w:ascii="宋体" w:hAnsi="宋体" w:cs="宋体"/>
          <w:color w:val="auto"/>
          <w:sz w:val="22"/>
          <w:highlight w:val="none"/>
        </w:rPr>
      </w:pPr>
    </w:p>
    <w:p w14:paraId="546262DE">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170D84F8">
      <w:pPr>
        <w:tabs>
          <w:tab w:val="left" w:pos="1069"/>
          <w:tab w:val="left" w:pos="2352"/>
        </w:tabs>
        <w:spacing w:line="400" w:lineRule="atLeast"/>
        <w:ind w:firstLine="2992" w:firstLineChars="1342"/>
        <w:rPr>
          <w:rFonts w:ascii="宋体" w:hAnsi="宋体" w:cs="宋体"/>
          <w:color w:val="auto"/>
          <w:sz w:val="22"/>
          <w:highlight w:val="none"/>
          <w:u w:val="single"/>
        </w:rPr>
      </w:pPr>
    </w:p>
    <w:p w14:paraId="06AC94A5">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05F21097">
      <w:pPr>
        <w:tabs>
          <w:tab w:val="left" w:pos="1069"/>
          <w:tab w:val="left" w:pos="2352"/>
        </w:tabs>
        <w:spacing w:line="400" w:lineRule="atLeast"/>
        <w:ind w:firstLine="2992" w:firstLineChars="1342"/>
        <w:rPr>
          <w:rFonts w:ascii="宋体" w:hAnsi="宋体" w:cs="宋体"/>
          <w:color w:val="auto"/>
          <w:sz w:val="22"/>
          <w:highlight w:val="none"/>
          <w:u w:val="single"/>
        </w:rPr>
      </w:pPr>
    </w:p>
    <w:p w14:paraId="06E237C8">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0EF6452D">
      <w:pPr>
        <w:tabs>
          <w:tab w:val="left" w:pos="1069"/>
          <w:tab w:val="left" w:pos="2352"/>
        </w:tabs>
        <w:spacing w:line="400" w:lineRule="atLeast"/>
        <w:ind w:left="1" w:firstLine="427" w:firstLineChars="192"/>
        <w:rPr>
          <w:rFonts w:ascii="宋体" w:hAnsi="宋体" w:cs="宋体"/>
          <w:color w:val="auto"/>
          <w:sz w:val="22"/>
          <w:highlight w:val="none"/>
        </w:rPr>
      </w:pPr>
    </w:p>
    <w:p w14:paraId="3BB14696">
      <w:pPr>
        <w:tabs>
          <w:tab w:val="left" w:pos="1069"/>
          <w:tab w:val="left" w:pos="2352"/>
        </w:tabs>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684F13F6">
      <w:pPr>
        <w:tabs>
          <w:tab w:val="left" w:pos="1069"/>
          <w:tab w:val="left" w:pos="2352"/>
        </w:tabs>
        <w:spacing w:line="400" w:lineRule="atLeast"/>
        <w:ind w:left="1" w:firstLine="427" w:firstLineChars="192"/>
        <w:rPr>
          <w:rFonts w:ascii="宋体" w:hAnsi="宋体" w:cs="宋体"/>
          <w:color w:val="auto"/>
          <w:sz w:val="22"/>
          <w:highlight w:val="none"/>
        </w:rPr>
      </w:pPr>
    </w:p>
    <w:p w14:paraId="7D3965E5">
      <w:pPr>
        <w:tabs>
          <w:tab w:val="left" w:pos="1069"/>
          <w:tab w:val="left" w:pos="2352"/>
        </w:tabs>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792050EF">
      <w:pPr>
        <w:tabs>
          <w:tab w:val="left" w:pos="1069"/>
          <w:tab w:val="left" w:pos="2352"/>
        </w:tabs>
        <w:spacing w:line="400" w:lineRule="atLeast"/>
        <w:ind w:left="2699"/>
        <w:rPr>
          <w:rFonts w:ascii="宋体" w:hAnsi="宋体" w:cs="宋体"/>
          <w:color w:val="auto"/>
          <w:sz w:val="22"/>
          <w:highlight w:val="none"/>
        </w:rPr>
      </w:pPr>
    </w:p>
    <w:p w14:paraId="4C0470BF">
      <w:pPr>
        <w:tabs>
          <w:tab w:val="left" w:pos="1069"/>
          <w:tab w:val="left" w:pos="2352"/>
        </w:tabs>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5AE3C505">
      <w:pPr>
        <w:tabs>
          <w:tab w:val="left" w:pos="1069"/>
          <w:tab w:val="left" w:pos="2352"/>
        </w:tabs>
        <w:spacing w:line="360" w:lineRule="exact"/>
        <w:ind w:left="2699"/>
        <w:rPr>
          <w:rFonts w:ascii="宋体" w:hAnsi="宋体" w:cs="宋体"/>
          <w:color w:val="auto"/>
          <w:sz w:val="22"/>
          <w:highlight w:val="none"/>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BF6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46297C8A">
            <w:pPr>
              <w:pStyle w:val="12"/>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3D8B864F">
            <w:pPr>
              <w:pStyle w:val="12"/>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07C036E7">
            <w:pPr>
              <w:pStyle w:val="12"/>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5A23D306">
      <w:pPr>
        <w:pStyle w:val="12"/>
        <w:tabs>
          <w:tab w:val="left" w:pos="1069"/>
          <w:tab w:val="left" w:pos="2352"/>
        </w:tabs>
        <w:adjustRightInd w:val="0"/>
        <w:snapToGrid w:val="0"/>
        <w:spacing w:line="360" w:lineRule="exact"/>
        <w:jc w:val="center"/>
        <w:rPr>
          <w:rFonts w:hAnsi="宋体" w:cs="宋体"/>
          <w:color w:val="auto"/>
          <w:sz w:val="22"/>
          <w:highlight w:val="none"/>
          <w:lang w:val="zh-CN"/>
        </w:rPr>
      </w:pPr>
    </w:p>
    <w:p w14:paraId="41AF8749">
      <w:pPr>
        <w:pStyle w:val="12"/>
        <w:tabs>
          <w:tab w:val="left" w:pos="1069"/>
          <w:tab w:val="left" w:pos="2352"/>
        </w:tabs>
        <w:adjustRightInd w:val="0"/>
        <w:snapToGrid w:val="0"/>
        <w:spacing w:line="360" w:lineRule="exact"/>
        <w:jc w:val="center"/>
        <w:rPr>
          <w:rFonts w:hAnsi="宋体" w:cs="宋体"/>
          <w:color w:val="auto"/>
          <w:sz w:val="22"/>
          <w:highlight w:val="none"/>
          <w:lang w:val="zh-CN"/>
        </w:rPr>
      </w:pPr>
    </w:p>
    <w:p w14:paraId="504D4887">
      <w:pPr>
        <w:pStyle w:val="12"/>
        <w:tabs>
          <w:tab w:val="left" w:pos="1069"/>
          <w:tab w:val="left" w:pos="2352"/>
        </w:tabs>
        <w:adjustRightInd w:val="0"/>
        <w:snapToGrid w:val="0"/>
        <w:spacing w:line="360" w:lineRule="exact"/>
        <w:jc w:val="center"/>
        <w:rPr>
          <w:rFonts w:hAnsi="宋体" w:cs="宋体"/>
          <w:color w:val="auto"/>
          <w:sz w:val="22"/>
          <w:highlight w:val="none"/>
          <w:lang w:val="zh-CN"/>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DA9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4E0AC166">
            <w:pPr>
              <w:pStyle w:val="12"/>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3D3A3A5D">
            <w:pPr>
              <w:pStyle w:val="12"/>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41732852">
            <w:pPr>
              <w:pStyle w:val="12"/>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2894AD6A">
      <w:pPr>
        <w:tabs>
          <w:tab w:val="left" w:pos="1069"/>
          <w:tab w:val="left" w:pos="2352"/>
        </w:tabs>
        <w:spacing w:line="360" w:lineRule="exact"/>
        <w:jc w:val="left"/>
        <w:rPr>
          <w:rFonts w:hint="eastAsia" w:ascii="宋体" w:hAnsi="宋体" w:cs="宋体"/>
          <w:b/>
          <w:bCs/>
          <w:color w:val="auto"/>
          <w:sz w:val="30"/>
          <w:highlight w:val="none"/>
        </w:rPr>
      </w:pPr>
    </w:p>
    <w:p w14:paraId="0BF8E7D3">
      <w:pPr>
        <w:tabs>
          <w:tab w:val="left" w:pos="1069"/>
          <w:tab w:val="left" w:pos="2352"/>
        </w:tabs>
        <w:spacing w:line="360" w:lineRule="exact"/>
        <w:jc w:val="left"/>
        <w:rPr>
          <w:rFonts w:hint="eastAsia" w:ascii="宋体" w:hAnsi="宋体" w:cs="宋体"/>
          <w:b/>
          <w:bCs/>
          <w:color w:val="auto"/>
          <w:sz w:val="30"/>
          <w:highlight w:val="none"/>
        </w:rPr>
      </w:pPr>
    </w:p>
    <w:p w14:paraId="69FA5E59">
      <w:pPr>
        <w:pStyle w:val="2"/>
        <w:rPr>
          <w:rFonts w:hint="eastAsia"/>
          <w:color w:val="auto"/>
          <w:highlight w:val="none"/>
        </w:rPr>
      </w:pPr>
    </w:p>
    <w:p w14:paraId="113350AE">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w:t>
      </w:r>
      <w:r>
        <w:rPr>
          <w:rFonts w:hint="eastAsia" w:ascii="宋体" w:hAnsi="宋体" w:cs="宋体"/>
          <w:b/>
          <w:bCs/>
          <w:color w:val="auto"/>
          <w:sz w:val="22"/>
          <w:highlight w:val="none"/>
          <w:lang w:val="en-US" w:eastAsia="zh-CN"/>
        </w:rPr>
        <w:t>《商务技术文件》</w:t>
      </w:r>
      <w:r>
        <w:rPr>
          <w:rFonts w:hint="eastAsia" w:ascii="宋体" w:hAnsi="宋体" w:cs="宋体"/>
          <w:b/>
          <w:bCs/>
          <w:color w:val="auto"/>
          <w:sz w:val="22"/>
          <w:highlight w:val="none"/>
          <w:lang w:val="zh-CN"/>
        </w:rPr>
        <w:t>投标文件格式</w:t>
      </w:r>
    </w:p>
    <w:p w14:paraId="3D5C7956">
      <w:pPr>
        <w:pStyle w:val="2"/>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lang w:val="en-US" w:eastAsia="zh-CN"/>
        </w:rPr>
        <w:t>《商务技术文件》</w:t>
      </w:r>
      <w:r>
        <w:rPr>
          <w:rFonts w:hint="eastAsia" w:ascii="宋体" w:hAnsi="宋体" w:cs="宋体"/>
          <w:b/>
          <w:bCs/>
          <w:color w:val="auto"/>
          <w:sz w:val="22"/>
          <w:highlight w:val="none"/>
          <w:lang w:val="zh-CN"/>
        </w:rPr>
        <w:t>投标文件</w:t>
      </w:r>
      <w:r>
        <w:rPr>
          <w:rFonts w:hint="eastAsia" w:ascii="宋体" w:hAnsi="宋体" w:cs="宋体"/>
          <w:color w:val="auto"/>
          <w:sz w:val="22"/>
          <w:szCs w:val="22"/>
          <w:highlight w:val="none"/>
        </w:rPr>
        <w:t>封面参考：</w:t>
      </w:r>
    </w:p>
    <w:p w14:paraId="3DA54E89">
      <w:pPr>
        <w:tabs>
          <w:tab w:val="left" w:pos="1069"/>
          <w:tab w:val="left" w:pos="2352"/>
        </w:tabs>
        <w:snapToGrid w:val="0"/>
        <w:spacing w:line="440" w:lineRule="exact"/>
        <w:jc w:val="center"/>
        <w:rPr>
          <w:rFonts w:ascii="宋体" w:hAnsi="宋体" w:cs="宋体"/>
          <w:b/>
          <w:color w:val="auto"/>
          <w:sz w:val="32"/>
          <w:szCs w:val="32"/>
          <w:highlight w:val="none"/>
        </w:rPr>
      </w:pPr>
    </w:p>
    <w:p w14:paraId="547B4D31">
      <w:pPr>
        <w:tabs>
          <w:tab w:val="left" w:pos="1069"/>
          <w:tab w:val="left" w:pos="2352"/>
        </w:tabs>
        <w:spacing w:line="480" w:lineRule="auto"/>
        <w:jc w:val="center"/>
        <w:rPr>
          <w:rFonts w:hint="eastAsia" w:ascii="宋体" w:hAnsi="宋体" w:cs="宋体"/>
          <w:b/>
          <w:color w:val="auto"/>
          <w:sz w:val="64"/>
          <w:szCs w:val="64"/>
          <w:highlight w:val="none"/>
          <w:lang w:eastAsia="zh-CN"/>
        </w:rPr>
      </w:pPr>
    </w:p>
    <w:p w14:paraId="3D5F4913">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泰顺县包垟乡环卫保洁服务</w:t>
      </w:r>
    </w:p>
    <w:p w14:paraId="44DCE362">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5FDC24F5">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38C592D3">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666078D4">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C1E190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DBA0AA">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330329265190010000001-TSCG202606003</w:t>
            </w:r>
          </w:p>
        </w:tc>
      </w:tr>
      <w:tr w14:paraId="246DE26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DFC829C">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泰顺县包垟乡人民政府</w:t>
            </w:r>
          </w:p>
        </w:tc>
      </w:tr>
      <w:tr w14:paraId="4399DA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A811AA0">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53FF388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440AC8BD">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21E24A4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89C28B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15F6E06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tcPr>
          <w:p w14:paraId="349D9D8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1EC80734">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29FD5B47">
      <w:pPr>
        <w:tabs>
          <w:tab w:val="left" w:pos="1069"/>
          <w:tab w:val="left" w:pos="2352"/>
        </w:tabs>
        <w:spacing w:line="360" w:lineRule="exact"/>
        <w:jc w:val="left"/>
        <w:rPr>
          <w:rFonts w:ascii="宋体" w:hAnsi="宋体" w:cs="宋体"/>
          <w:b/>
          <w:bCs/>
          <w:color w:val="auto"/>
          <w:sz w:val="30"/>
          <w:highlight w:val="none"/>
        </w:rPr>
      </w:pPr>
    </w:p>
    <w:p w14:paraId="2A758B84">
      <w:pPr>
        <w:tabs>
          <w:tab w:val="left" w:pos="1069"/>
          <w:tab w:val="left" w:pos="2352"/>
        </w:tabs>
        <w:spacing w:line="360" w:lineRule="exact"/>
        <w:jc w:val="left"/>
        <w:rPr>
          <w:rFonts w:ascii="宋体" w:hAnsi="宋体" w:cs="宋体"/>
          <w:b/>
          <w:bCs/>
          <w:color w:val="auto"/>
          <w:sz w:val="30"/>
          <w:highlight w:val="none"/>
        </w:rPr>
      </w:pPr>
    </w:p>
    <w:p w14:paraId="25D36C6E">
      <w:pPr>
        <w:tabs>
          <w:tab w:val="left" w:pos="1069"/>
          <w:tab w:val="left" w:pos="2352"/>
        </w:tabs>
        <w:spacing w:line="360" w:lineRule="exact"/>
        <w:jc w:val="left"/>
        <w:rPr>
          <w:rFonts w:hint="eastAsia" w:ascii="宋体" w:hAnsi="宋体" w:cs="宋体"/>
          <w:b/>
          <w:bCs/>
          <w:color w:val="auto"/>
          <w:sz w:val="30"/>
          <w:highlight w:val="none"/>
        </w:rPr>
      </w:pPr>
    </w:p>
    <w:p w14:paraId="238C9BEA">
      <w:pPr>
        <w:tabs>
          <w:tab w:val="left" w:pos="1069"/>
          <w:tab w:val="left" w:pos="2352"/>
        </w:tabs>
        <w:spacing w:line="360" w:lineRule="exact"/>
        <w:jc w:val="left"/>
        <w:rPr>
          <w:rFonts w:hint="eastAsia" w:ascii="宋体" w:hAnsi="宋体" w:cs="宋体"/>
          <w:b/>
          <w:bCs/>
          <w:color w:val="auto"/>
          <w:sz w:val="30"/>
          <w:highlight w:val="none"/>
        </w:rPr>
      </w:pPr>
    </w:p>
    <w:p w14:paraId="3B3E7ADD">
      <w:pPr>
        <w:tabs>
          <w:tab w:val="left" w:pos="1069"/>
          <w:tab w:val="left" w:pos="2352"/>
        </w:tabs>
        <w:spacing w:line="360" w:lineRule="exact"/>
        <w:jc w:val="left"/>
        <w:rPr>
          <w:rFonts w:hint="eastAsia" w:ascii="宋体" w:hAnsi="宋体" w:cs="宋体"/>
          <w:b/>
          <w:bCs/>
          <w:color w:val="auto"/>
          <w:sz w:val="30"/>
          <w:highlight w:val="none"/>
        </w:rPr>
      </w:pPr>
    </w:p>
    <w:p w14:paraId="5CE13D1F">
      <w:pPr>
        <w:tabs>
          <w:tab w:val="left" w:pos="1069"/>
          <w:tab w:val="left" w:pos="2352"/>
        </w:tabs>
        <w:spacing w:line="360" w:lineRule="exact"/>
        <w:jc w:val="left"/>
        <w:rPr>
          <w:rFonts w:hint="eastAsia" w:ascii="宋体" w:hAnsi="宋体" w:cs="宋体"/>
          <w:b/>
          <w:bCs/>
          <w:color w:val="auto"/>
          <w:sz w:val="30"/>
          <w:highlight w:val="none"/>
        </w:rPr>
      </w:pPr>
    </w:p>
    <w:p w14:paraId="1509ED1B">
      <w:pPr>
        <w:tabs>
          <w:tab w:val="left" w:pos="1069"/>
          <w:tab w:val="left" w:pos="2352"/>
        </w:tabs>
        <w:spacing w:line="360" w:lineRule="exact"/>
        <w:jc w:val="left"/>
        <w:rPr>
          <w:rFonts w:hint="eastAsia" w:ascii="宋体" w:hAnsi="宋体" w:cs="宋体"/>
          <w:b/>
          <w:bCs/>
          <w:color w:val="auto"/>
          <w:sz w:val="30"/>
          <w:highlight w:val="none"/>
        </w:rPr>
      </w:pPr>
    </w:p>
    <w:p w14:paraId="128EB4F1">
      <w:pPr>
        <w:tabs>
          <w:tab w:val="left" w:pos="1069"/>
          <w:tab w:val="left" w:pos="2352"/>
        </w:tabs>
        <w:spacing w:line="360" w:lineRule="exac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E38571B">
      <w:pPr>
        <w:tabs>
          <w:tab w:val="left" w:pos="1069"/>
          <w:tab w:val="left" w:pos="2352"/>
        </w:tabs>
        <w:autoSpaceDE w:val="0"/>
        <w:autoSpaceDN w:val="0"/>
        <w:adjustRightInd w:val="0"/>
        <w:spacing w:line="360" w:lineRule="exact"/>
        <w:jc w:val="center"/>
        <w:rPr>
          <w:rFonts w:ascii="宋体" w:hAnsi="宋体" w:cs="宋体"/>
          <w:b/>
          <w:bCs/>
          <w:color w:val="auto"/>
          <w:sz w:val="30"/>
          <w:szCs w:val="30"/>
          <w:highlight w:val="none"/>
          <w:lang w:val="zh-CN"/>
        </w:rPr>
      </w:pPr>
      <w:bookmarkStart w:id="102" w:name="_Toc30988_WPSOffice_Level3"/>
      <w:r>
        <w:rPr>
          <w:rFonts w:hint="eastAsia" w:ascii="宋体" w:hAnsi="宋体" w:cs="宋体"/>
          <w:b/>
          <w:bCs/>
          <w:color w:val="auto"/>
          <w:sz w:val="30"/>
          <w:szCs w:val="30"/>
          <w:highlight w:val="none"/>
        </w:rPr>
        <w:t>报价</w:t>
      </w:r>
      <w:r>
        <w:rPr>
          <w:rFonts w:hint="eastAsia" w:ascii="宋体" w:hAnsi="宋体" w:cs="宋体"/>
          <w:b/>
          <w:bCs/>
          <w:color w:val="auto"/>
          <w:sz w:val="30"/>
          <w:szCs w:val="30"/>
          <w:highlight w:val="none"/>
          <w:lang w:val="zh-CN"/>
        </w:rPr>
        <w:t>函</w:t>
      </w:r>
      <w:bookmarkEnd w:id="102"/>
    </w:p>
    <w:p w14:paraId="6C6A5DDE">
      <w:pPr>
        <w:tabs>
          <w:tab w:val="left" w:pos="1069"/>
          <w:tab w:val="left" w:pos="2352"/>
        </w:tabs>
        <w:autoSpaceDE w:val="0"/>
        <w:autoSpaceDN w:val="0"/>
        <w:adjustRightInd w:val="0"/>
        <w:spacing w:line="360" w:lineRule="exact"/>
        <w:rPr>
          <w:rFonts w:ascii="宋体" w:hAnsi="宋体" w:cs="宋体"/>
          <w:color w:val="auto"/>
          <w:sz w:val="36"/>
          <w:highlight w:val="none"/>
          <w:lang w:val="zh-CN"/>
        </w:rPr>
      </w:pPr>
    </w:p>
    <w:p w14:paraId="0C0649D5">
      <w:pPr>
        <w:pStyle w:val="12"/>
        <w:tabs>
          <w:tab w:val="left" w:pos="1069"/>
          <w:tab w:val="left" w:pos="2352"/>
        </w:tabs>
        <w:rPr>
          <w:rFonts w:hAnsi="宋体" w:cs="宋体"/>
          <w:color w:val="auto"/>
          <w:sz w:val="22"/>
          <w:highlight w:val="none"/>
          <w:u w:val="single"/>
        </w:rPr>
      </w:pPr>
      <w:r>
        <w:rPr>
          <w:rFonts w:hint="eastAsia" w:hAnsi="宋体" w:cs="宋体"/>
          <w:color w:val="auto"/>
          <w:sz w:val="22"/>
          <w:highlight w:val="none"/>
          <w:u w:val="single"/>
          <w:lang w:eastAsia="zh-CN"/>
        </w:rPr>
        <w:t>泰顺县包垟乡人民政府</w:t>
      </w:r>
      <w:r>
        <w:rPr>
          <w:rFonts w:hint="eastAsia" w:hAnsi="宋体" w:cs="宋体"/>
          <w:color w:val="auto"/>
          <w:sz w:val="22"/>
          <w:highlight w:val="none"/>
          <w:u w:val="single"/>
        </w:rPr>
        <w:t>：</w:t>
      </w:r>
    </w:p>
    <w:p w14:paraId="0C689195">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泰顺县包垟乡环卫保洁服务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330329265190010000001-TSCG202606003</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泰顺县包垟乡环卫保洁服务</w:t>
      </w:r>
      <w:r>
        <w:rPr>
          <w:rFonts w:hint="eastAsia" w:ascii="宋体" w:hAnsi="宋体" w:cs="宋体"/>
          <w:color w:val="auto"/>
          <w:sz w:val="22"/>
          <w:highlight w:val="none"/>
          <w:lang w:val="zh-CN"/>
        </w:rPr>
        <w:t>进行投标。为此：</w:t>
      </w:r>
    </w:p>
    <w:p w14:paraId="7C68BC6B">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1.提供供应商须知规定的全部投标（响应）文件：</w:t>
      </w:r>
    </w:p>
    <w:p w14:paraId="4D80EE35">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2973C494">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2.保证遵守竞争性磋商文件中的有关规定和收费标准。</w:t>
      </w:r>
    </w:p>
    <w:p w14:paraId="30565E34">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3.保证忠实地执行采购人、中标（成交）供应商双方所签订的合同，并承担合同规定的责任义务。</w:t>
      </w:r>
    </w:p>
    <w:p w14:paraId="5FF8ED0F">
      <w:pPr>
        <w:pStyle w:val="12"/>
        <w:tabs>
          <w:tab w:val="left" w:pos="1069"/>
          <w:tab w:val="left" w:pos="2352"/>
        </w:tabs>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按竞争性磋商文件规定期限</w:t>
      </w:r>
      <w:r>
        <w:rPr>
          <w:rFonts w:hint="eastAsia" w:hAnsi="宋体" w:cs="宋体"/>
          <w:color w:val="auto"/>
          <w:sz w:val="22"/>
          <w:highlight w:val="none"/>
          <w:lang w:val="en-US" w:eastAsia="zh-CN"/>
        </w:rPr>
        <w:t>完成</w:t>
      </w:r>
      <w:r>
        <w:rPr>
          <w:rFonts w:hint="eastAsia" w:hAnsi="宋体" w:cs="宋体"/>
          <w:color w:val="auto"/>
          <w:sz w:val="22"/>
          <w:highlight w:val="none"/>
        </w:rPr>
        <w:t>并通过采购人验收，逾期采购人有权拒绝。</w:t>
      </w:r>
    </w:p>
    <w:p w14:paraId="76FA50D1">
      <w:pPr>
        <w:tabs>
          <w:tab w:val="left" w:pos="1069"/>
          <w:tab w:val="left" w:pos="2352"/>
        </w:tabs>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B1CDD2B">
      <w:pPr>
        <w:tabs>
          <w:tab w:val="left" w:pos="1069"/>
          <w:tab w:val="left" w:pos="2352"/>
        </w:tabs>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lang w:eastAsia="zh-CN"/>
        </w:rPr>
        <w:t>6.</w:t>
      </w:r>
      <w:r>
        <w:rPr>
          <w:rFonts w:hint="eastAsia" w:ascii="宋体" w:hAnsi="宋体" w:cs="宋体"/>
          <w:color w:val="auto"/>
          <w:sz w:val="22"/>
          <w:highlight w:val="none"/>
        </w:rPr>
        <w:t>利益冲突：近三年内直至目前，我公司与本项目的采购人、招标代理机构没有</w:t>
      </w:r>
      <w:r>
        <w:rPr>
          <w:rFonts w:hint="eastAsia" w:ascii="宋体" w:hAnsi="宋体" w:cs="宋体"/>
          <w:color w:val="auto"/>
          <w:sz w:val="22"/>
          <w:highlight w:val="none"/>
          <w:lang w:eastAsia="zh-CN"/>
        </w:rPr>
        <w:t>任何</w:t>
      </w:r>
      <w:r>
        <w:rPr>
          <w:rFonts w:hint="eastAsia" w:ascii="宋体" w:hAnsi="宋体" w:cs="宋体"/>
          <w:color w:val="auto"/>
          <w:sz w:val="22"/>
          <w:highlight w:val="none"/>
        </w:rPr>
        <w:t>隶属关系。</w:t>
      </w:r>
    </w:p>
    <w:p w14:paraId="3904F7A4">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eastAsia="zh-CN"/>
        </w:rPr>
        <w:t>7.</w:t>
      </w:r>
      <w:r>
        <w:rPr>
          <w:rFonts w:hint="eastAsia" w:ascii="宋体" w:hAnsi="宋体" w:cs="宋体"/>
          <w:color w:val="auto"/>
          <w:sz w:val="22"/>
          <w:highlight w:val="none"/>
        </w:rPr>
        <w:t>我公司没有被各级、各地财政监管部门限制参加政府采购活动，且在限制期内。</w:t>
      </w:r>
    </w:p>
    <w:p w14:paraId="63AD64A6">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021CAA71">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62F961CD">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10.与本次投标有关的一切往来通讯请寄：</w:t>
      </w:r>
    </w:p>
    <w:p w14:paraId="69514977">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122C968">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16C3026C">
      <w:pPr>
        <w:pStyle w:val="12"/>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37A3F553">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293AA1A0">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720FD3EA">
      <w:pPr>
        <w:tabs>
          <w:tab w:val="left" w:pos="1069"/>
          <w:tab w:val="left" w:pos="2352"/>
        </w:tabs>
        <w:spacing w:line="360" w:lineRule="exact"/>
        <w:jc w:val="left"/>
        <w:rPr>
          <w:rFonts w:ascii="宋体" w:hAnsi="宋体" w:cs="宋体"/>
          <w:color w:val="auto"/>
          <w:sz w:val="22"/>
          <w:highlight w:val="none"/>
        </w:rPr>
      </w:pPr>
    </w:p>
    <w:p w14:paraId="17F454D6">
      <w:pPr>
        <w:tabs>
          <w:tab w:val="left" w:pos="1069"/>
          <w:tab w:val="left" w:pos="2352"/>
        </w:tabs>
        <w:spacing w:line="360" w:lineRule="exact"/>
        <w:jc w:val="left"/>
        <w:rPr>
          <w:rFonts w:ascii="宋体" w:hAnsi="宋体" w:cs="宋体"/>
          <w:color w:val="auto"/>
          <w:sz w:val="22"/>
          <w:highlight w:val="none"/>
        </w:rPr>
      </w:pPr>
    </w:p>
    <w:p w14:paraId="47E45454">
      <w:pPr>
        <w:tabs>
          <w:tab w:val="left" w:pos="1069"/>
          <w:tab w:val="left" w:pos="2352"/>
        </w:tabs>
        <w:spacing w:line="360" w:lineRule="exact"/>
        <w:jc w:val="left"/>
        <w:rPr>
          <w:rFonts w:ascii="宋体" w:hAnsi="宋体" w:cs="宋体"/>
          <w:b/>
          <w:bCs/>
          <w:color w:val="auto"/>
          <w:sz w:val="30"/>
          <w:highlight w:val="none"/>
        </w:rPr>
      </w:pPr>
    </w:p>
    <w:p w14:paraId="3D01B5FA">
      <w:pPr>
        <w:pStyle w:val="8"/>
        <w:tabs>
          <w:tab w:val="left" w:pos="1069"/>
          <w:tab w:val="left" w:pos="2352"/>
        </w:tabs>
        <w:ind w:left="0" w:firstLine="0"/>
        <w:rPr>
          <w:color w:val="auto"/>
          <w:highlight w:val="none"/>
        </w:rPr>
      </w:pPr>
    </w:p>
    <w:p w14:paraId="0CD49EC6">
      <w:pPr>
        <w:tabs>
          <w:tab w:val="left" w:pos="1069"/>
          <w:tab w:val="left" w:pos="2352"/>
        </w:tabs>
        <w:spacing w:line="360" w:lineRule="exact"/>
        <w:jc w:val="left"/>
        <w:rPr>
          <w:rFonts w:hint="eastAsia" w:ascii="宋体" w:hAnsi="宋体" w:cs="宋体"/>
          <w:b/>
          <w:bCs/>
          <w:color w:val="auto"/>
          <w:sz w:val="30"/>
          <w:highlight w:val="none"/>
        </w:rPr>
      </w:pPr>
    </w:p>
    <w:p w14:paraId="0CDCE605">
      <w:pPr>
        <w:tabs>
          <w:tab w:val="left" w:pos="1069"/>
          <w:tab w:val="left" w:pos="2352"/>
        </w:tabs>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0110139D">
      <w:pPr>
        <w:tabs>
          <w:tab w:val="left" w:pos="1069"/>
          <w:tab w:val="left" w:pos="2352"/>
        </w:tabs>
        <w:spacing w:line="360" w:lineRule="exact"/>
        <w:jc w:val="center"/>
        <w:rPr>
          <w:rFonts w:ascii="宋体" w:hAnsi="宋体" w:cs="宋体"/>
          <w:b/>
          <w:bCs/>
          <w:color w:val="auto"/>
          <w:sz w:val="30"/>
          <w:highlight w:val="none"/>
          <w:lang w:val="zh-CN"/>
        </w:rPr>
      </w:pPr>
      <w:bookmarkStart w:id="103" w:name="_Toc15399_WPSOffice_Level3"/>
      <w:r>
        <w:rPr>
          <w:rFonts w:hint="eastAsia" w:ascii="宋体" w:hAnsi="宋体" w:cs="宋体"/>
          <w:b/>
          <w:bCs/>
          <w:color w:val="auto"/>
          <w:sz w:val="30"/>
          <w:highlight w:val="none"/>
          <w:lang w:val="zh-CN"/>
        </w:rPr>
        <w:t>供应商参与政府采购活动投标资格声明函</w:t>
      </w:r>
      <w:bookmarkEnd w:id="103"/>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3EC3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D79A942">
            <w:pPr>
              <w:pStyle w:val="12"/>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1BD18271">
            <w:pPr>
              <w:pStyle w:val="12"/>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泰顺县包垟乡环卫保洁服务</w:t>
            </w:r>
          </w:p>
        </w:tc>
      </w:tr>
      <w:tr w14:paraId="007B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CFC7B85">
            <w:pPr>
              <w:pStyle w:val="12"/>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2A83D07A">
            <w:pPr>
              <w:pStyle w:val="12"/>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330329265190010000001-TSCG202606003</w:t>
            </w:r>
          </w:p>
        </w:tc>
      </w:tr>
      <w:tr w14:paraId="13E9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5F40BD9">
            <w:pPr>
              <w:pStyle w:val="12"/>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7B4173E9">
            <w:pPr>
              <w:pStyle w:val="12"/>
              <w:tabs>
                <w:tab w:val="left" w:pos="1069"/>
                <w:tab w:val="left" w:pos="2352"/>
              </w:tabs>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345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91FE2A7">
            <w:pPr>
              <w:pStyle w:val="12"/>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lang w:eastAsia="zh-CN"/>
              </w:rPr>
              <w:t>1.</w:t>
            </w:r>
            <w:r>
              <w:rPr>
                <w:rFonts w:hint="eastAsia" w:hAnsi="宋体" w:cs="宋体"/>
                <w:color w:val="auto"/>
                <w:kern w:val="2"/>
                <w:highlight w:val="none"/>
              </w:rPr>
              <w:t>根据政府采购法第二十二条规定，我单位满足以下条件，并已经在《资格文件》中提供了相应的证明材料：</w:t>
            </w:r>
          </w:p>
          <w:p w14:paraId="2364F5FA">
            <w:pPr>
              <w:pStyle w:val="12"/>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38E4DD79">
            <w:pPr>
              <w:pStyle w:val="12"/>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lang w:eastAsia="zh-CN"/>
              </w:rPr>
              <w:t>2.</w:t>
            </w:r>
            <w:r>
              <w:rPr>
                <w:rFonts w:hint="eastAsia" w:hAnsi="宋体" w:cs="宋体"/>
                <w:color w:val="auto"/>
                <w:kern w:val="2"/>
                <w:highlight w:val="none"/>
              </w:rPr>
              <w:t>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6D8C07FA">
            <w:pPr>
              <w:tabs>
                <w:tab w:val="left" w:pos="1069"/>
                <w:tab w:val="left" w:pos="2352"/>
                <w:tab w:val="center" w:pos="4483"/>
              </w:tabs>
              <w:adjustRightInd w:val="0"/>
              <w:spacing w:line="360" w:lineRule="auto"/>
              <w:ind w:firstLine="400"/>
              <w:rPr>
                <w:rFonts w:hAnsi="宋体" w:cs="宋体"/>
                <w:color w:val="auto"/>
                <w:kern w:val="2"/>
                <w:highlight w:val="none"/>
              </w:rPr>
            </w:pPr>
            <w:r>
              <w:rPr>
                <w:rFonts w:hint="eastAsia" w:hAnsi="宋体" w:cs="宋体"/>
                <w:color w:val="auto"/>
                <w:kern w:val="2"/>
                <w:highlight w:val="none"/>
                <w:lang w:eastAsia="zh-CN"/>
              </w:rPr>
              <w:t>3.</w:t>
            </w:r>
            <w:r>
              <w:rPr>
                <w:rFonts w:hint="eastAsia" w:hAnsi="宋体" w:cs="宋体"/>
                <w:color w:val="auto"/>
                <w:kern w:val="2"/>
                <w:highlight w:val="none"/>
              </w:rPr>
              <w:t>我单位没有被各地、各级财政部门限制参加政府采购活动，且在限制期内：</w:t>
            </w:r>
            <w:r>
              <w:rPr>
                <w:rFonts w:hint="eastAsia" w:ascii="宋体" w:hAnsi="宋体" w:cs="宋体"/>
                <w:color w:val="auto"/>
                <w:szCs w:val="21"/>
                <w:highlight w:val="none"/>
                <w:u w:val="single"/>
              </w:rPr>
              <w:t>（若无则说明无）。</w:t>
            </w:r>
          </w:p>
          <w:p w14:paraId="45A3F035">
            <w:pPr>
              <w:tabs>
                <w:tab w:val="left" w:pos="1069"/>
                <w:tab w:val="left" w:pos="2352"/>
                <w:tab w:val="center" w:pos="4483"/>
              </w:tabs>
              <w:adjustRightInd w:val="0"/>
              <w:spacing w:line="360" w:lineRule="auto"/>
              <w:ind w:firstLine="400"/>
              <w:rPr>
                <w:rFonts w:ascii="宋体" w:hAnsi="宋体" w:cs="宋体"/>
                <w:color w:val="auto"/>
                <w:szCs w:val="21"/>
                <w:highlight w:val="none"/>
                <w:u w:val="singl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color w:val="auto"/>
                <w:szCs w:val="21"/>
                <w:highlight w:val="none"/>
                <w:u w:val="single"/>
              </w:rPr>
              <w:t>（若无则说明无）。</w:t>
            </w:r>
          </w:p>
          <w:p w14:paraId="5499156B">
            <w:pPr>
              <w:tabs>
                <w:tab w:val="left" w:pos="1069"/>
                <w:tab w:val="left" w:pos="2352"/>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要求，并在《资格文件》中提供了相应的证明材料</w:t>
            </w:r>
            <w:r>
              <w:rPr>
                <w:rFonts w:hint="eastAsia" w:ascii="宋体" w:hAnsi="宋体" w:cs="宋体"/>
                <w:color w:val="auto"/>
                <w:szCs w:val="21"/>
                <w:highlight w:val="none"/>
                <w:u w:val="single"/>
              </w:rPr>
              <w:t>（竞争性磋商文件没有要求特定资格条件的，本条款空格处可以空白）</w:t>
            </w:r>
          </w:p>
          <w:p w14:paraId="2BFBCE0A">
            <w:pPr>
              <w:tabs>
                <w:tab w:val="left" w:pos="1069"/>
                <w:tab w:val="left" w:pos="2352"/>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0FF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871BE92">
            <w:pPr>
              <w:pStyle w:val="12"/>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w:t>
            </w:r>
            <w:r>
              <w:rPr>
                <w:rFonts w:hint="eastAsia" w:hAnsi="宋体" w:cs="宋体"/>
                <w:color w:val="auto"/>
                <w:kern w:val="2"/>
                <w:sz w:val="22"/>
                <w:szCs w:val="22"/>
                <w:highlight w:val="none"/>
                <w:lang w:val="en-US" w:eastAsia="zh-CN"/>
              </w:rPr>
              <w:t>公</w:t>
            </w:r>
            <w:r>
              <w:rPr>
                <w:rFonts w:hint="eastAsia" w:hAnsi="宋体" w:cs="宋体"/>
                <w:color w:val="auto"/>
                <w:kern w:val="2"/>
                <w:sz w:val="22"/>
                <w:szCs w:val="22"/>
                <w:highlight w:val="none"/>
              </w:rPr>
              <w:t>章）：</w:t>
            </w:r>
          </w:p>
        </w:tc>
      </w:tr>
      <w:tr w14:paraId="01AE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CD1EBCA">
            <w:pPr>
              <w:pStyle w:val="12"/>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D2F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0123A36B">
            <w:pPr>
              <w:pStyle w:val="12"/>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25414329">
      <w:pPr>
        <w:tabs>
          <w:tab w:val="left" w:pos="1069"/>
          <w:tab w:val="left" w:pos="2352"/>
        </w:tabs>
        <w:spacing w:line="360" w:lineRule="exact"/>
        <w:jc w:val="left"/>
        <w:rPr>
          <w:rFonts w:ascii="宋体" w:hAnsi="宋体" w:cs="宋体"/>
          <w:bCs/>
          <w:color w:val="auto"/>
          <w:sz w:val="22"/>
          <w:highlight w:val="none"/>
          <w:u w:val="single"/>
        </w:rPr>
      </w:pPr>
    </w:p>
    <w:p w14:paraId="763C9759">
      <w:pPr>
        <w:tabs>
          <w:tab w:val="left" w:pos="1069"/>
          <w:tab w:val="left" w:pos="2352"/>
        </w:tabs>
        <w:spacing w:line="360" w:lineRule="exact"/>
        <w:jc w:val="left"/>
        <w:rPr>
          <w:rFonts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1B533CFD">
      <w:pPr>
        <w:tabs>
          <w:tab w:val="left" w:pos="1069"/>
          <w:tab w:val="left" w:pos="2352"/>
        </w:tabs>
        <w:spacing w:line="360" w:lineRule="exact"/>
        <w:jc w:val="left"/>
        <w:rPr>
          <w:rFonts w:hint="eastAsia" w:ascii="宋体" w:hAnsi="宋体" w:cs="宋体"/>
          <w:b/>
          <w:bCs/>
          <w:color w:val="auto"/>
          <w:sz w:val="32"/>
          <w:szCs w:val="32"/>
          <w:highlight w:val="none"/>
        </w:rPr>
      </w:pPr>
    </w:p>
    <w:p w14:paraId="184F9DE6">
      <w:pPr>
        <w:tabs>
          <w:tab w:val="left" w:pos="1069"/>
          <w:tab w:val="left" w:pos="2352"/>
        </w:tabs>
        <w:spacing w:line="360" w:lineRule="exact"/>
        <w:jc w:val="left"/>
        <w:rPr>
          <w:rFonts w:hint="eastAsia" w:ascii="宋体" w:hAnsi="宋体" w:cs="宋体"/>
          <w:b/>
          <w:bCs/>
          <w:color w:val="auto"/>
          <w:sz w:val="32"/>
          <w:szCs w:val="32"/>
          <w:highlight w:val="none"/>
        </w:rPr>
      </w:pPr>
    </w:p>
    <w:p w14:paraId="32E89231">
      <w:pPr>
        <w:tabs>
          <w:tab w:val="left" w:pos="1069"/>
          <w:tab w:val="left" w:pos="2352"/>
        </w:tabs>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424CD5A0">
      <w:pPr>
        <w:tabs>
          <w:tab w:val="left" w:pos="1069"/>
          <w:tab w:val="left" w:pos="2352"/>
        </w:tabs>
        <w:jc w:val="center"/>
        <w:rPr>
          <w:rFonts w:ascii="宋体" w:hAnsi="宋体" w:cs="宋体"/>
          <w:color w:val="auto"/>
          <w:sz w:val="24"/>
          <w:highlight w:val="none"/>
        </w:rPr>
      </w:pPr>
      <w:bookmarkStart w:id="104" w:name="_Toc7010_WPSOffice_Level3"/>
      <w:r>
        <w:rPr>
          <w:rFonts w:hint="eastAsia" w:ascii="宋体" w:hAnsi="宋体" w:cs="宋体"/>
          <w:b/>
          <w:bCs/>
          <w:color w:val="auto"/>
          <w:sz w:val="32"/>
          <w:szCs w:val="32"/>
          <w:highlight w:val="none"/>
        </w:rPr>
        <w:t>法定代表人诚信投标承诺书</w:t>
      </w:r>
      <w:bookmarkEnd w:id="104"/>
    </w:p>
    <w:p w14:paraId="3940C250">
      <w:pPr>
        <w:tabs>
          <w:tab w:val="left" w:pos="1069"/>
          <w:tab w:val="left" w:pos="2352"/>
        </w:tabs>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B2F853F">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泰顺县包垟乡环卫保洁服务</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330329265190010000001-TSCG202606003</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3597014B">
      <w:pPr>
        <w:tabs>
          <w:tab w:val="left" w:pos="1069"/>
          <w:tab w:val="left" w:pos="2352"/>
        </w:tabs>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项目管理人员、技术人员，严格按竞争性磋商文件、投标（响应）文件及合同等要求保证拟派人员的到岗率。</w:t>
      </w:r>
    </w:p>
    <w:p w14:paraId="615F433C">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二、投标（响应）文件所提供的一切材料都是真实、有效、合法的。</w:t>
      </w:r>
    </w:p>
    <w:p w14:paraId="3AEAC3BF">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1F49D6DD">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458F80A7">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48641C9C">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27E50289">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56812E4C">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31DF67A3">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429658B1">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7466E0D5">
      <w:pPr>
        <w:tabs>
          <w:tab w:val="left" w:pos="1069"/>
          <w:tab w:val="left" w:pos="2352"/>
        </w:tabs>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w:t>
      </w:r>
      <w:r>
        <w:rPr>
          <w:rFonts w:hint="eastAsia" w:ascii="宋体" w:hAnsi="宋体" w:cs="宋体"/>
          <w:color w:val="auto"/>
          <w:sz w:val="22"/>
          <w:highlight w:val="none"/>
          <w:lang w:eastAsia="zh-CN"/>
        </w:rPr>
        <w:t>括但</w:t>
      </w:r>
      <w:r>
        <w:rPr>
          <w:rFonts w:hint="eastAsia" w:ascii="宋体" w:hAnsi="宋体" w:cs="宋体"/>
          <w:color w:val="auto"/>
          <w:sz w:val="22"/>
          <w:highlight w:val="none"/>
        </w:rPr>
        <w:t>不限于：愿意接受相关行政主管部门作出的处罚；给采购人造成损失的，依法承担相应的赔偿责任。</w:t>
      </w:r>
    </w:p>
    <w:p w14:paraId="6EB37233">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7CE0752C">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3633818E">
      <w:pPr>
        <w:tabs>
          <w:tab w:val="left" w:pos="1069"/>
          <w:tab w:val="left" w:pos="2352"/>
        </w:tabs>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2822B6C7">
      <w:pPr>
        <w:tabs>
          <w:tab w:val="left" w:pos="1069"/>
          <w:tab w:val="left" w:pos="2352"/>
        </w:tabs>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540008EF">
      <w:pPr>
        <w:pStyle w:val="12"/>
        <w:tabs>
          <w:tab w:val="left" w:pos="1069"/>
          <w:tab w:val="left" w:pos="2352"/>
        </w:tabs>
        <w:spacing w:line="360" w:lineRule="exact"/>
        <w:jc w:val="center"/>
        <w:rPr>
          <w:rFonts w:hAnsi="宋体" w:cs="宋体"/>
          <w:color w:val="auto"/>
          <w:sz w:val="32"/>
          <w:highlight w:val="none"/>
        </w:rPr>
      </w:pPr>
    </w:p>
    <w:p w14:paraId="7E432B56">
      <w:pPr>
        <w:tabs>
          <w:tab w:val="left" w:pos="1069"/>
          <w:tab w:val="left" w:pos="2352"/>
        </w:tabs>
        <w:spacing w:line="360" w:lineRule="exact"/>
        <w:jc w:val="left"/>
        <w:rPr>
          <w:rFonts w:ascii="宋体" w:hAnsi="宋体" w:cs="宋体"/>
          <w:color w:val="auto"/>
          <w:sz w:val="30"/>
          <w:highlight w:val="none"/>
        </w:rPr>
      </w:pPr>
    </w:p>
    <w:p w14:paraId="05838BED">
      <w:pPr>
        <w:pStyle w:val="12"/>
        <w:tabs>
          <w:tab w:val="left" w:pos="1069"/>
          <w:tab w:val="left" w:pos="2352"/>
        </w:tabs>
        <w:spacing w:line="360" w:lineRule="exact"/>
        <w:jc w:val="left"/>
        <w:rPr>
          <w:rFonts w:hAnsi="宋体" w:cs="宋体"/>
          <w:b/>
          <w:bCs/>
          <w:color w:val="auto"/>
          <w:sz w:val="32"/>
          <w:highlight w:val="none"/>
          <w:lang w:val="zh-CN"/>
        </w:rPr>
      </w:pPr>
    </w:p>
    <w:p w14:paraId="66D7A73C">
      <w:pPr>
        <w:tabs>
          <w:tab w:val="left" w:pos="2352"/>
        </w:tabs>
        <w:rPr>
          <w:color w:val="auto"/>
          <w:highlight w:val="none"/>
          <w:lang w:val="zh-CN"/>
        </w:rPr>
      </w:pPr>
    </w:p>
    <w:p w14:paraId="66963FB1">
      <w:pPr>
        <w:pStyle w:val="12"/>
        <w:tabs>
          <w:tab w:val="left" w:pos="1069"/>
          <w:tab w:val="left" w:pos="2352"/>
        </w:tabs>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3DB03291">
      <w:pPr>
        <w:pStyle w:val="12"/>
        <w:tabs>
          <w:tab w:val="left" w:pos="1069"/>
          <w:tab w:val="left" w:pos="2352"/>
        </w:tabs>
        <w:spacing w:line="360" w:lineRule="exact"/>
        <w:jc w:val="center"/>
        <w:rPr>
          <w:rFonts w:hAnsi="宋体" w:cs="宋体"/>
          <w:b/>
          <w:bCs/>
          <w:color w:val="auto"/>
          <w:sz w:val="32"/>
          <w:highlight w:val="none"/>
          <w:lang w:val="zh-CN"/>
        </w:rPr>
      </w:pPr>
      <w:bookmarkStart w:id="105" w:name="_Toc18541_WPSOffice_Level3"/>
      <w:r>
        <w:rPr>
          <w:rFonts w:hint="eastAsia" w:hAnsi="宋体" w:cs="宋体"/>
          <w:b/>
          <w:bCs/>
          <w:color w:val="auto"/>
          <w:sz w:val="32"/>
          <w:highlight w:val="none"/>
          <w:lang w:val="zh-CN"/>
        </w:rPr>
        <w:t>（一）商务偏离表</w:t>
      </w:r>
      <w:bookmarkEnd w:id="105"/>
    </w:p>
    <w:p w14:paraId="66B7F1BE">
      <w:pPr>
        <w:tabs>
          <w:tab w:val="left" w:pos="1069"/>
          <w:tab w:val="left" w:pos="2352"/>
        </w:tabs>
        <w:autoSpaceDE w:val="0"/>
        <w:autoSpaceDN w:val="0"/>
        <w:adjustRightInd w:val="0"/>
        <w:spacing w:line="360" w:lineRule="exact"/>
        <w:jc w:val="center"/>
        <w:rPr>
          <w:rFonts w:ascii="宋体" w:hAnsi="宋体" w:cs="宋体"/>
          <w:color w:val="auto"/>
          <w:sz w:val="32"/>
          <w:highlight w:val="none"/>
          <w:lang w:val="zh-CN"/>
        </w:rPr>
      </w:pPr>
    </w:p>
    <w:tbl>
      <w:tblPr>
        <w:tblStyle w:val="26"/>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0672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F73F282">
            <w:pPr>
              <w:tabs>
                <w:tab w:val="left" w:pos="1069"/>
                <w:tab w:val="left" w:pos="2352"/>
              </w:tabs>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14DE92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EC6F2B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7C7037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投标（响应）文件</w:t>
            </w:r>
          </w:p>
          <w:p w14:paraId="77AE62F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3355E6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0785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F52B5D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915BB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087E7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F1C967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80C82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4C57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903D88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506914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FAE0ED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BB90F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7ADE8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0836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9E7D48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91E166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5FBC5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8F15FF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6CF9EB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71D7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409C76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178D97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18D84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A7A9F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C7F7F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7BEE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D4227B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C8DA49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2DDF72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6AADDA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02433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5F23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C76FB1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E95C19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32047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CDD90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8CCE3C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1732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7B4A0B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B73C2A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EE44ED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23E8DC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F4912C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7C8A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931556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0EFEB2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C832A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1D300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37265D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574A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D18F3B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320E06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9026B7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49D65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BEE992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bl>
    <w:p w14:paraId="3E28B4F1">
      <w:pPr>
        <w:tabs>
          <w:tab w:val="left" w:pos="1069"/>
          <w:tab w:val="left" w:pos="2352"/>
        </w:tabs>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50F2DF49">
      <w:pPr>
        <w:tabs>
          <w:tab w:val="left" w:pos="1069"/>
          <w:tab w:val="left" w:pos="2352"/>
        </w:tabs>
        <w:autoSpaceDE w:val="0"/>
        <w:autoSpaceDN w:val="0"/>
        <w:adjustRightInd w:val="0"/>
        <w:spacing w:line="360" w:lineRule="exact"/>
        <w:rPr>
          <w:rFonts w:ascii="宋体" w:hAnsi="宋体" w:cs="宋体"/>
          <w:color w:val="auto"/>
          <w:sz w:val="32"/>
          <w:highlight w:val="none"/>
          <w:lang w:val="zh-CN"/>
        </w:rPr>
      </w:pPr>
    </w:p>
    <w:p w14:paraId="123BF8B6">
      <w:pPr>
        <w:pStyle w:val="12"/>
        <w:tabs>
          <w:tab w:val="left" w:pos="1069"/>
          <w:tab w:val="left" w:pos="2352"/>
        </w:tabs>
        <w:spacing w:line="360" w:lineRule="exact"/>
        <w:jc w:val="center"/>
        <w:rPr>
          <w:rFonts w:hAnsi="宋体" w:cs="宋体"/>
          <w:b/>
          <w:bCs/>
          <w:color w:val="auto"/>
          <w:sz w:val="32"/>
          <w:highlight w:val="none"/>
          <w:lang w:val="zh-CN"/>
        </w:rPr>
      </w:pPr>
      <w:bookmarkStart w:id="106" w:name="_Toc4031_WPSOffice_Level3"/>
      <w:r>
        <w:rPr>
          <w:rFonts w:hint="eastAsia" w:hAnsi="宋体" w:cs="宋体"/>
          <w:b/>
          <w:bCs/>
          <w:color w:val="auto"/>
          <w:sz w:val="32"/>
          <w:highlight w:val="none"/>
          <w:lang w:val="zh-CN"/>
        </w:rPr>
        <w:t>（二）技术偏离表</w:t>
      </w:r>
      <w:bookmarkEnd w:id="106"/>
    </w:p>
    <w:tbl>
      <w:tblPr>
        <w:tblStyle w:val="26"/>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48DD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A5BED2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5C575C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D9511A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4FAB2B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投标（响应）文件</w:t>
            </w:r>
          </w:p>
          <w:p w14:paraId="7E7E75C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EE2CA1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5C9D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9635F2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FC7ED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5E4833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31C0B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1E2114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4E0E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8B3B19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D62767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D3A51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FD1C9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E7D074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D60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0105F3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BA270B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63330C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CB98DA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FADA0C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4892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BDEF6B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E0A4C0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C4F6D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62152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DCFD01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55BE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676A7C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6578F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9E748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F280BE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1A5A98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3602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FE3CE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2C8AA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52BFD6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9EC61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5B8D9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5D51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F7949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B97718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E96158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C6D5A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D6509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38A2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0E948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F66B65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795CE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71F34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7529B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5B20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F89EA3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B6828A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FE532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0F2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A28541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bl>
    <w:p w14:paraId="300F8FFF">
      <w:pPr>
        <w:tabs>
          <w:tab w:val="left" w:pos="1069"/>
          <w:tab w:val="left" w:pos="2352"/>
        </w:tabs>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415675F1">
      <w:pPr>
        <w:tabs>
          <w:tab w:val="left" w:pos="1069"/>
          <w:tab w:val="left" w:pos="2352"/>
        </w:tabs>
        <w:rPr>
          <w:rFonts w:hint="eastAsia" w:ascii="宋体" w:hAnsi="宋体" w:cs="宋体"/>
          <w:color w:val="auto"/>
          <w:highlight w:val="none"/>
        </w:rPr>
      </w:pPr>
      <w:bookmarkStart w:id="107" w:name="_Toc30988_WPSOffice_Level2"/>
    </w:p>
    <w:p w14:paraId="53DA2F2F">
      <w:pPr>
        <w:tabs>
          <w:tab w:val="left" w:pos="1069"/>
          <w:tab w:val="left" w:pos="2352"/>
        </w:tabs>
        <w:rPr>
          <w:rFonts w:ascii="宋体" w:hAnsi="宋体" w:cs="宋体"/>
          <w:color w:val="auto"/>
          <w:highlight w:val="none"/>
        </w:rPr>
      </w:pPr>
      <w:r>
        <w:rPr>
          <w:rFonts w:hint="eastAsia" w:ascii="宋体" w:hAnsi="宋体" w:cs="宋体"/>
          <w:color w:val="auto"/>
          <w:highlight w:val="none"/>
        </w:rPr>
        <w:t>备注：1</w:t>
      </w:r>
      <w:r>
        <w:rPr>
          <w:rFonts w:ascii="宋体" w:hAnsi="宋体" w:cs="宋体"/>
          <w:color w:val="auto"/>
          <w:highlight w:val="none"/>
        </w:rPr>
        <w:t>.</w:t>
      </w:r>
      <w:r>
        <w:rPr>
          <w:rFonts w:hint="eastAsia" w:ascii="宋体" w:hAnsi="宋体" w:cs="宋体"/>
          <w:color w:val="auto"/>
          <w:highlight w:val="none"/>
        </w:rPr>
        <w:t>表格可以延续</w:t>
      </w:r>
      <w:bookmarkEnd w:id="107"/>
    </w:p>
    <w:p w14:paraId="7633EC41">
      <w:pPr>
        <w:pStyle w:val="25"/>
        <w:rPr>
          <w:rFonts w:cs="Times New Roman"/>
          <w:color w:val="auto"/>
          <w:highlight w:val="none"/>
        </w:rPr>
      </w:pPr>
      <w:r>
        <w:rPr>
          <w:color w:val="auto"/>
          <w:highlight w:val="none"/>
        </w:rPr>
        <w:t>2.</w:t>
      </w:r>
      <w:r>
        <w:rPr>
          <w:rFonts w:hint="eastAsia"/>
          <w:color w:val="auto"/>
          <w:highlight w:val="none"/>
        </w:rPr>
        <w:t>如不填写，则视为完全响应招标文件要求</w:t>
      </w:r>
    </w:p>
    <w:p w14:paraId="5D76AF95">
      <w:pPr>
        <w:pStyle w:val="12"/>
        <w:tabs>
          <w:tab w:val="left" w:pos="1069"/>
          <w:tab w:val="left" w:pos="2352"/>
        </w:tabs>
        <w:spacing w:line="360" w:lineRule="exact"/>
        <w:rPr>
          <w:rFonts w:hAnsi="宋体" w:cs="宋体"/>
          <w:color w:val="auto"/>
          <w:sz w:val="22"/>
          <w:highlight w:val="none"/>
        </w:rPr>
      </w:pPr>
    </w:p>
    <w:p w14:paraId="31831B96">
      <w:pPr>
        <w:tabs>
          <w:tab w:val="left" w:pos="1069"/>
          <w:tab w:val="left" w:pos="2352"/>
        </w:tabs>
        <w:rPr>
          <w:rFonts w:ascii="宋体" w:hAnsi="宋体" w:cs="宋体"/>
          <w:b/>
          <w:bCs/>
          <w:color w:val="auto"/>
          <w:sz w:val="32"/>
          <w:szCs w:val="32"/>
          <w:highlight w:val="none"/>
        </w:rPr>
      </w:pPr>
    </w:p>
    <w:p w14:paraId="11375BE7">
      <w:pPr>
        <w:tabs>
          <w:tab w:val="left" w:pos="1069"/>
          <w:tab w:val="left" w:pos="2352"/>
        </w:tabs>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0BB8ADC5">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58DDFBB2">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泰顺县包垟乡环卫保洁服务</w:t>
      </w:r>
    </w:p>
    <w:p w14:paraId="7D3466FE">
      <w:pPr>
        <w:tabs>
          <w:tab w:val="left" w:pos="1069"/>
          <w:tab w:val="left" w:pos="2352"/>
        </w:tabs>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330329265190010000001-TSCG202606003</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A11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219FB8E">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0E166797">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36B619C0">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50F97F67">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56D8744">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35D7569B">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p w14:paraId="73A77FFB">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1A18EA7D">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职务</w:t>
            </w:r>
          </w:p>
          <w:p w14:paraId="228EC4F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79D88637">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1869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7EA422D">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E5CE77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478D5EC">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8EAE8BD">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705EEB">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6A77C1">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4D2893A">
            <w:pPr>
              <w:tabs>
                <w:tab w:val="left" w:pos="1069"/>
                <w:tab w:val="left" w:pos="2352"/>
              </w:tabs>
              <w:spacing w:line="360" w:lineRule="auto"/>
              <w:ind w:left="5250"/>
              <w:rPr>
                <w:rFonts w:ascii="宋体" w:hAns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69D150F1">
            <w:pPr>
              <w:tabs>
                <w:tab w:val="left" w:pos="1069"/>
                <w:tab w:val="left" w:pos="2352"/>
              </w:tabs>
              <w:spacing w:line="360" w:lineRule="auto"/>
              <w:rPr>
                <w:rFonts w:ascii="宋体" w:hAnsi="宋体" w:cs="宋体"/>
                <w:color w:val="auto"/>
                <w:sz w:val="22"/>
                <w:highlight w:val="none"/>
              </w:rPr>
            </w:pPr>
          </w:p>
        </w:tc>
      </w:tr>
      <w:tr w14:paraId="00A7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0ED7ABE">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53C8EEA">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D5D73FF">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069DBE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5892526">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5588B96">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B9E0FCC">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12AED99">
            <w:pPr>
              <w:tabs>
                <w:tab w:val="left" w:pos="1069"/>
                <w:tab w:val="left" w:pos="2352"/>
              </w:tabs>
              <w:spacing w:line="360" w:lineRule="auto"/>
              <w:ind w:left="5250"/>
              <w:rPr>
                <w:rFonts w:ascii="宋体" w:hAnsi="宋体" w:cs="宋体"/>
                <w:color w:val="auto"/>
                <w:spacing w:val="12"/>
                <w:sz w:val="22"/>
                <w:highlight w:val="none"/>
              </w:rPr>
            </w:pPr>
          </w:p>
        </w:tc>
      </w:tr>
      <w:tr w14:paraId="77E8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3DDEAC3">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036D2E4">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F914C5A">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44A2981">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139114C">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9A5CFFE">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71D07A3">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FB63EDA">
            <w:pPr>
              <w:tabs>
                <w:tab w:val="left" w:pos="1069"/>
                <w:tab w:val="left" w:pos="2352"/>
              </w:tabs>
              <w:spacing w:line="360" w:lineRule="auto"/>
              <w:rPr>
                <w:rFonts w:ascii="宋体" w:hAnsi="宋体" w:cs="宋体"/>
                <w:color w:val="auto"/>
                <w:sz w:val="22"/>
                <w:highlight w:val="none"/>
              </w:rPr>
            </w:pPr>
          </w:p>
        </w:tc>
      </w:tr>
      <w:tr w14:paraId="5405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8529D07">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CD627F3">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FD4AE0F">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02F9B3E">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9A2329B">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2B4025C">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F66C000">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502C92A">
            <w:pPr>
              <w:tabs>
                <w:tab w:val="left" w:pos="1069"/>
                <w:tab w:val="left" w:pos="2352"/>
              </w:tabs>
              <w:spacing w:line="360" w:lineRule="auto"/>
              <w:rPr>
                <w:rFonts w:ascii="宋体" w:hAnsi="宋体" w:cs="宋体"/>
                <w:color w:val="auto"/>
                <w:sz w:val="22"/>
                <w:highlight w:val="none"/>
              </w:rPr>
            </w:pPr>
          </w:p>
        </w:tc>
      </w:tr>
      <w:tr w14:paraId="2FE3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23BB47B">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D57DDB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DD67F19">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4ED5AF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096151E">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3A92857">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6279FC6">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BB947AF">
            <w:pPr>
              <w:tabs>
                <w:tab w:val="left" w:pos="1069"/>
                <w:tab w:val="left" w:pos="2352"/>
              </w:tabs>
              <w:spacing w:line="360" w:lineRule="auto"/>
              <w:rPr>
                <w:rFonts w:ascii="宋体" w:hAnsi="宋体" w:cs="宋体"/>
                <w:color w:val="auto"/>
                <w:sz w:val="22"/>
                <w:highlight w:val="none"/>
              </w:rPr>
            </w:pPr>
          </w:p>
        </w:tc>
      </w:tr>
      <w:tr w14:paraId="2ED3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9D22080">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66A7BB5">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B482C8C">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24DC441">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80EE9DC">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6EE3F30">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A092EAB">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505D1F1">
            <w:pPr>
              <w:tabs>
                <w:tab w:val="left" w:pos="1069"/>
                <w:tab w:val="left" w:pos="2352"/>
              </w:tabs>
              <w:spacing w:line="360" w:lineRule="auto"/>
              <w:rPr>
                <w:rFonts w:ascii="宋体" w:hAnsi="宋体" w:cs="宋体"/>
                <w:color w:val="auto"/>
                <w:sz w:val="22"/>
                <w:highlight w:val="none"/>
              </w:rPr>
            </w:pPr>
          </w:p>
        </w:tc>
      </w:tr>
      <w:tr w14:paraId="7621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6E0DFFD">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AA41ED5">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5FC0D2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EFB02F4">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264841C">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A092E21">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6D5E8F0">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44CEBCF">
            <w:pPr>
              <w:tabs>
                <w:tab w:val="left" w:pos="1069"/>
                <w:tab w:val="left" w:pos="2352"/>
              </w:tabs>
              <w:spacing w:line="360" w:lineRule="auto"/>
              <w:rPr>
                <w:rFonts w:ascii="宋体" w:hAnsi="宋体" w:cs="宋体"/>
                <w:color w:val="auto"/>
                <w:sz w:val="22"/>
                <w:highlight w:val="none"/>
              </w:rPr>
            </w:pPr>
          </w:p>
        </w:tc>
      </w:tr>
      <w:tr w14:paraId="5281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561BE70">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C13C6F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938593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B628C7">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3BB1407">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1982809">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E5CAB57">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2008708">
            <w:pPr>
              <w:tabs>
                <w:tab w:val="left" w:pos="1069"/>
                <w:tab w:val="left" w:pos="2352"/>
              </w:tabs>
              <w:spacing w:line="360" w:lineRule="auto"/>
              <w:rPr>
                <w:rFonts w:ascii="宋体" w:hAnsi="宋体" w:cs="宋体"/>
                <w:color w:val="auto"/>
                <w:sz w:val="22"/>
                <w:highlight w:val="none"/>
              </w:rPr>
            </w:pPr>
          </w:p>
        </w:tc>
      </w:tr>
      <w:tr w14:paraId="272F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5618E69">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07DAF6D">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7D4F089">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6FD4944">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D09F874">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2220A68">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4329531">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99C9006">
            <w:pPr>
              <w:tabs>
                <w:tab w:val="left" w:pos="1069"/>
                <w:tab w:val="left" w:pos="2352"/>
              </w:tabs>
              <w:spacing w:line="360" w:lineRule="auto"/>
              <w:rPr>
                <w:rFonts w:ascii="宋体" w:hAnsi="宋体" w:cs="宋体"/>
                <w:color w:val="auto"/>
                <w:sz w:val="22"/>
                <w:highlight w:val="none"/>
              </w:rPr>
            </w:pPr>
          </w:p>
        </w:tc>
      </w:tr>
      <w:tr w14:paraId="138E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CB1C82">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A4667E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20ADB2A">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0F5E988">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B951B3D">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6C62B42">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06D6091">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89CBE0D">
            <w:pPr>
              <w:tabs>
                <w:tab w:val="left" w:pos="1069"/>
                <w:tab w:val="left" w:pos="2352"/>
              </w:tabs>
              <w:spacing w:line="360" w:lineRule="auto"/>
              <w:rPr>
                <w:rFonts w:ascii="宋体" w:hAnsi="宋体" w:cs="宋体"/>
                <w:color w:val="auto"/>
                <w:sz w:val="22"/>
                <w:highlight w:val="none"/>
              </w:rPr>
            </w:pPr>
          </w:p>
        </w:tc>
      </w:tr>
      <w:tr w14:paraId="58E0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33764DD">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85F2D51">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7980D0A">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FFE03C">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47680E0">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A7E2722">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1ECBBCD">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BFED8C0">
            <w:pPr>
              <w:tabs>
                <w:tab w:val="left" w:pos="1069"/>
                <w:tab w:val="left" w:pos="2352"/>
              </w:tabs>
              <w:spacing w:line="360" w:lineRule="auto"/>
              <w:rPr>
                <w:rFonts w:ascii="宋体" w:hAnsi="宋体" w:cs="宋体"/>
                <w:color w:val="auto"/>
                <w:sz w:val="22"/>
                <w:highlight w:val="none"/>
              </w:rPr>
            </w:pPr>
          </w:p>
        </w:tc>
      </w:tr>
      <w:tr w14:paraId="066B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859A7D6">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E17532F">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47CFF6C">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3877FD5">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9147434">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1E270B4">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5D4CFF8">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4EA7E20">
            <w:pPr>
              <w:tabs>
                <w:tab w:val="left" w:pos="1069"/>
                <w:tab w:val="left" w:pos="2352"/>
              </w:tabs>
              <w:spacing w:line="360" w:lineRule="auto"/>
              <w:rPr>
                <w:rFonts w:ascii="宋体" w:hAnsi="宋体" w:cs="宋体"/>
                <w:color w:val="auto"/>
                <w:sz w:val="22"/>
                <w:highlight w:val="none"/>
              </w:rPr>
            </w:pPr>
          </w:p>
        </w:tc>
      </w:tr>
      <w:tr w14:paraId="56F9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BB94336">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0459C34D">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9C97390">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263756">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C99AFFB">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1F82759">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22BAEDC">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E31EF3F">
            <w:pPr>
              <w:tabs>
                <w:tab w:val="left" w:pos="1069"/>
                <w:tab w:val="left" w:pos="2352"/>
              </w:tabs>
              <w:spacing w:line="360" w:lineRule="auto"/>
              <w:rPr>
                <w:rFonts w:ascii="宋体" w:hAnsi="宋体" w:cs="宋体"/>
                <w:color w:val="auto"/>
                <w:sz w:val="22"/>
                <w:highlight w:val="none"/>
              </w:rPr>
            </w:pPr>
          </w:p>
        </w:tc>
      </w:tr>
      <w:tr w14:paraId="345E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1B19745">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FF67A25">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A802264">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26D2252">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CA0132">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F425CD0">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96A2C7A">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65DE528">
            <w:pPr>
              <w:tabs>
                <w:tab w:val="left" w:pos="1069"/>
                <w:tab w:val="left" w:pos="2352"/>
              </w:tabs>
              <w:spacing w:line="360" w:lineRule="auto"/>
              <w:rPr>
                <w:rFonts w:ascii="宋体" w:hAnsi="宋体" w:cs="宋体"/>
                <w:color w:val="auto"/>
                <w:sz w:val="22"/>
                <w:highlight w:val="none"/>
              </w:rPr>
            </w:pPr>
          </w:p>
        </w:tc>
      </w:tr>
      <w:tr w14:paraId="147F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8BB5A50">
            <w:pPr>
              <w:tabs>
                <w:tab w:val="left" w:pos="1069"/>
                <w:tab w:val="left" w:pos="2352"/>
              </w:tabs>
              <w:spacing w:line="360" w:lineRule="auto"/>
              <w:rPr>
                <w:rFonts w:ascii="宋体" w:hAns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97CCC80">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5172E6C">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0DBAAFC">
            <w:pPr>
              <w:tabs>
                <w:tab w:val="left" w:pos="1069"/>
                <w:tab w:val="left" w:pos="2352"/>
              </w:tabs>
              <w:spacing w:line="360" w:lineRule="auto"/>
              <w:rPr>
                <w:rFonts w:ascii="宋体" w:hAns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40FC9F">
            <w:pPr>
              <w:tabs>
                <w:tab w:val="left" w:pos="1069"/>
                <w:tab w:val="left" w:pos="2352"/>
              </w:tabs>
              <w:spacing w:line="360" w:lineRule="auto"/>
              <w:rPr>
                <w:rFonts w:ascii="宋体" w:hAns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D4307A3">
            <w:pPr>
              <w:tabs>
                <w:tab w:val="left" w:pos="1069"/>
                <w:tab w:val="left" w:pos="2352"/>
              </w:tabs>
              <w:spacing w:line="360" w:lineRule="auto"/>
              <w:rPr>
                <w:rFonts w:ascii="宋体" w:hAns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E255580">
            <w:pPr>
              <w:tabs>
                <w:tab w:val="left" w:pos="1069"/>
                <w:tab w:val="left" w:pos="2352"/>
              </w:tabs>
              <w:spacing w:line="360" w:lineRule="auto"/>
              <w:rPr>
                <w:rFonts w:ascii="宋体" w:hAns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23949DC">
            <w:pPr>
              <w:tabs>
                <w:tab w:val="left" w:pos="1069"/>
                <w:tab w:val="left" w:pos="2352"/>
              </w:tabs>
              <w:spacing w:line="360" w:lineRule="auto"/>
              <w:rPr>
                <w:rFonts w:ascii="宋体" w:hAnsi="宋体" w:cs="宋体"/>
                <w:color w:val="auto"/>
                <w:sz w:val="22"/>
                <w:highlight w:val="none"/>
              </w:rPr>
            </w:pPr>
          </w:p>
        </w:tc>
      </w:tr>
    </w:tbl>
    <w:p w14:paraId="517D4F5F">
      <w:pPr>
        <w:tabs>
          <w:tab w:val="left" w:pos="1069"/>
          <w:tab w:val="left" w:pos="2352"/>
        </w:tabs>
        <w:spacing w:line="360" w:lineRule="exact"/>
        <w:ind w:left="985" w:hanging="981" w:hangingChars="440"/>
        <w:rPr>
          <w:rFonts w:ascii="宋体" w:hAnsi="宋体" w:cs="宋体"/>
          <w:color w:val="auto"/>
          <w:sz w:val="22"/>
          <w:highlight w:val="none"/>
        </w:rPr>
      </w:pPr>
      <w:r>
        <w:rPr>
          <w:rFonts w:hint="eastAsia" w:ascii="宋体" w:hAnsi="宋体" w:cs="宋体"/>
          <w:color w:val="auto"/>
          <w:sz w:val="22"/>
          <w:highlight w:val="none"/>
        </w:rPr>
        <w:t>注：  1. 项目负责人及其他服务人员均应列入；</w:t>
      </w:r>
    </w:p>
    <w:p w14:paraId="735B04A1">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2. 列入本表人员如要更换，需经采购人同意，擅自更换或不到位属违约行为；</w:t>
      </w:r>
    </w:p>
    <w:p w14:paraId="0E53DDDC">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3. 职称证书、执业资格证书、职业水平证书等人员证件复印件附后（如有）。</w:t>
      </w:r>
    </w:p>
    <w:p w14:paraId="31C00246">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4.表格可以延续。</w:t>
      </w:r>
    </w:p>
    <w:p w14:paraId="71957429">
      <w:pPr>
        <w:pStyle w:val="12"/>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4C7A309">
      <w:pPr>
        <w:pStyle w:val="12"/>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074A6E">
      <w:pPr>
        <w:pStyle w:val="12"/>
        <w:tabs>
          <w:tab w:val="left" w:pos="1069"/>
          <w:tab w:val="left" w:pos="2352"/>
        </w:tabs>
        <w:spacing w:line="360" w:lineRule="exact"/>
        <w:jc w:val="left"/>
        <w:rPr>
          <w:rFonts w:ascii="宋体" w:hAnsi="宋体" w:cs="宋体"/>
          <w:color w:val="auto"/>
          <w:sz w:val="30"/>
          <w:highlight w:val="none"/>
        </w:rPr>
      </w:pPr>
      <w:r>
        <w:rPr>
          <w:rFonts w:hint="eastAsia" w:hAnsi="宋体" w:cs="宋体"/>
          <w:color w:val="auto"/>
          <w:sz w:val="22"/>
          <w:szCs w:val="22"/>
          <w:highlight w:val="none"/>
        </w:rPr>
        <w:t>日期：</w:t>
      </w:r>
    </w:p>
    <w:p w14:paraId="624F4751">
      <w:pPr>
        <w:tabs>
          <w:tab w:val="left" w:pos="1069"/>
          <w:tab w:val="left" w:pos="2352"/>
        </w:tabs>
        <w:spacing w:line="360" w:lineRule="exact"/>
        <w:jc w:val="left"/>
        <w:rPr>
          <w:rFonts w:ascii="宋体" w:hAnsi="宋体" w:cs="宋体"/>
          <w:b/>
          <w:bCs/>
          <w:color w:val="auto"/>
          <w:sz w:val="30"/>
          <w:highlight w:val="none"/>
        </w:rPr>
      </w:pPr>
    </w:p>
    <w:p w14:paraId="4CFCCE3C">
      <w:pPr>
        <w:tabs>
          <w:tab w:val="left" w:pos="1069"/>
          <w:tab w:val="left" w:pos="2352"/>
        </w:tabs>
        <w:spacing w:line="360" w:lineRule="exact"/>
        <w:jc w:val="left"/>
        <w:rPr>
          <w:rFonts w:hint="eastAsia" w:ascii="宋体" w:hAnsi="宋体" w:cs="宋体"/>
          <w:b/>
          <w:bCs/>
          <w:color w:val="auto"/>
          <w:sz w:val="30"/>
          <w:highlight w:val="none"/>
        </w:rPr>
      </w:pPr>
    </w:p>
    <w:p w14:paraId="108B3091">
      <w:pPr>
        <w:tabs>
          <w:tab w:val="left" w:pos="1069"/>
          <w:tab w:val="left" w:pos="2352"/>
        </w:tabs>
        <w:spacing w:line="360" w:lineRule="exact"/>
        <w:jc w:val="left"/>
        <w:rPr>
          <w:rFonts w:hint="eastAsia" w:ascii="宋体" w:hAnsi="宋体" w:eastAsia="宋体" w:cs="宋体"/>
          <w:b/>
          <w:bCs/>
          <w:color w:val="auto"/>
          <w:szCs w:val="21"/>
          <w:highlight w:val="none"/>
          <w:lang w:val="en-US" w:eastAsia="zh-CN"/>
        </w:rPr>
      </w:pPr>
      <w:r>
        <w:rPr>
          <w:rFonts w:hint="eastAsia" w:ascii="宋体" w:hAnsi="宋体" w:cs="宋体"/>
          <w:b/>
          <w:bCs/>
          <w:color w:val="auto"/>
          <w:sz w:val="30"/>
          <w:highlight w:val="none"/>
        </w:rPr>
        <w:t>附件十</w:t>
      </w:r>
    </w:p>
    <w:p w14:paraId="747E3425">
      <w:pPr>
        <w:tabs>
          <w:tab w:val="left" w:pos="1069"/>
          <w:tab w:val="left" w:pos="2352"/>
        </w:tabs>
        <w:autoSpaceDE w:val="0"/>
        <w:autoSpaceDN w:val="0"/>
        <w:adjustRightInd w:val="0"/>
        <w:spacing w:line="500" w:lineRule="atLeast"/>
        <w:jc w:val="center"/>
        <w:rPr>
          <w:rFonts w:ascii="宋体" w:hAnsi="宋体" w:cs="宋体"/>
          <w:b/>
          <w:bCs/>
          <w:color w:val="auto"/>
          <w:sz w:val="32"/>
          <w:highlight w:val="none"/>
        </w:rPr>
      </w:pPr>
      <w:bookmarkStart w:id="108" w:name="_Toc28287_WPSOffice_Level3"/>
      <w:r>
        <w:rPr>
          <w:rFonts w:hint="eastAsia" w:ascii="宋体" w:hAnsi="宋体" w:cs="宋体"/>
          <w:b/>
          <w:bCs/>
          <w:color w:val="auto"/>
          <w:sz w:val="32"/>
          <w:highlight w:val="none"/>
        </w:rPr>
        <w:t>供应商项目业绩清单</w:t>
      </w:r>
      <w:bookmarkEnd w:id="108"/>
    </w:p>
    <w:p w14:paraId="66445341">
      <w:pPr>
        <w:pStyle w:val="12"/>
        <w:tabs>
          <w:tab w:val="left" w:pos="1069"/>
          <w:tab w:val="left" w:pos="2352"/>
        </w:tabs>
        <w:spacing w:line="360" w:lineRule="exact"/>
        <w:jc w:val="center"/>
        <w:rPr>
          <w:rFonts w:hAnsi="宋体" w:cs="宋体"/>
          <w:color w:val="auto"/>
          <w:sz w:val="22"/>
          <w:highlight w:val="none"/>
        </w:rPr>
      </w:pPr>
    </w:p>
    <w:tbl>
      <w:tblPr>
        <w:tblStyle w:val="26"/>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AB478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5028C0DC">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序号</w:t>
            </w:r>
          </w:p>
        </w:tc>
        <w:tc>
          <w:tcPr>
            <w:tcW w:w="1153" w:type="dxa"/>
            <w:tcBorders>
              <w:top w:val="double" w:color="000000" w:sz="6" w:space="0"/>
            </w:tcBorders>
          </w:tcPr>
          <w:p w14:paraId="59DF14EA">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206A3DFE">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71208213">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项目</w:t>
            </w:r>
          </w:p>
          <w:p w14:paraId="18BDA686">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名称</w:t>
            </w:r>
          </w:p>
        </w:tc>
        <w:tc>
          <w:tcPr>
            <w:tcW w:w="1154" w:type="dxa"/>
            <w:tcBorders>
              <w:top w:val="double" w:color="000000" w:sz="6" w:space="0"/>
            </w:tcBorders>
          </w:tcPr>
          <w:p w14:paraId="76F98B69">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数量</w:t>
            </w:r>
          </w:p>
        </w:tc>
        <w:tc>
          <w:tcPr>
            <w:tcW w:w="1154" w:type="dxa"/>
            <w:tcBorders>
              <w:top w:val="double" w:color="000000" w:sz="6" w:space="0"/>
            </w:tcBorders>
          </w:tcPr>
          <w:p w14:paraId="32C4D3DD">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合同</w:t>
            </w:r>
          </w:p>
          <w:p w14:paraId="78A52832">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aps/>
                <w:smallCaps w:val="0"/>
                <w:color w:val="auto"/>
                <w:spacing w:val="20"/>
                <w:sz w:val="22"/>
                <w:highlight w:val="none"/>
              </w:rPr>
              <w:t>金额</w:t>
            </w:r>
          </w:p>
        </w:tc>
        <w:tc>
          <w:tcPr>
            <w:tcW w:w="1154" w:type="dxa"/>
            <w:tcBorders>
              <w:top w:val="double" w:color="000000" w:sz="6" w:space="0"/>
            </w:tcBorders>
          </w:tcPr>
          <w:p w14:paraId="366B104B">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F0B59CF">
            <w:pPr>
              <w:tabs>
                <w:tab w:val="left" w:pos="1069"/>
                <w:tab w:val="left" w:pos="2352"/>
                <w:tab w:val="left" w:pos="4140"/>
              </w:tabs>
              <w:adjustRightInd w:val="0"/>
              <w:snapToGrid w:val="0"/>
              <w:spacing w:line="320" w:lineRule="atLeast"/>
              <w:jc w:val="center"/>
              <w:rPr>
                <w:rFonts w:ascii="宋体" w:hAnsi="宋体" w:cs="宋体"/>
                <w:caps/>
                <w:smallCaps w:val="0"/>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292F3A6E">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7DB88E11">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1DC27177">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367E9D2A">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262154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EC50E1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01E9972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3520BA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AF0AB0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62BF4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D50A3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CD4BA6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B4C335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328DF4F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07A95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3EC57A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3E86DE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6195DA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1C85AD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25A373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09B6B4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D5E1C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C934B9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6E3B1AE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3E4309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7CDF5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7BCC5EF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0BA952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B39F4D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2F0A33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2974F3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ED756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36023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6ABCE8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FA25B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B6754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526C56A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5A76C7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2C6D30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9D42F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0247C2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FEFFA2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CFDFF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01D71C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F6655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7A3AB3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00BFB2F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F875E5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87A77D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43919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33E309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6DB9B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479B43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917202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FF772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3A6D59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58DB063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D13197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EDA7D1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3DB063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E1FF9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3E0DD2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2C2387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59DE63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3F093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2B284C3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761461D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B96B42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540B48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9DB3F1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841F3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40A6A9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EA34C3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76BBE8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017B8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E8B4C9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009F49A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6917D7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695B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A01E2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76A34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42C7C9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711F77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5AF56FC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4B521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8F604A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6949A3C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294B74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4CBB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49A568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98564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38BC9F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6771ED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65263AE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EC5E9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A7E11C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6D9331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EF6E8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9F2C13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893FD0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854C9F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DC88E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C7AC6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CEB53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65AB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4781DA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42279C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29AF1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9AF620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A2D20F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8BB5B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3C6DA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22830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6C5EA2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C525E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E9D582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0A489B0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FEFE2E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1DDDB0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2F2873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94BBD6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0FD5DB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79C852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1215D2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89A46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5D3301B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6C4B55C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43150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2071AA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033DF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C6508E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B5F84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CD3417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13F283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CFB2D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E684CB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0D06CF0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A6A8FE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7BB16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7F398E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54FEC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118C3A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77E30F0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0605E6F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92AEA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8213ED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20AE3F2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1B5351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AB7F8B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56FD6C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A8E6D4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7E7CF6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86C378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3E55F6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11A13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8EAE5E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6E9DBC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D9179E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350ABB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F25353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3E787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75FA52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8A64D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09CA5A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CFE30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4ACC75F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0A9151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529326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88FD2B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0624B8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6E8DBD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BE82E2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D696DC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48BEB30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3937B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37CB41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30B265E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BBB165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2CE884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7E3240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7CA502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FF07CC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3CDC9B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A9F1A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BFF9A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7D70282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7905B46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419A7F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6F9345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469341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6DA081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3617DC7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FC65F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7BCC751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CD068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tcPr>
          <w:p w14:paraId="66C8A57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top w:val="single" w:color="000000" w:sz="6" w:space="0"/>
              <w:left w:val="single" w:color="000000" w:sz="6" w:space="0"/>
              <w:right w:val="single" w:color="000000" w:sz="6" w:space="0"/>
            </w:tcBorders>
          </w:tcPr>
          <w:p w14:paraId="30F87C5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3731B1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4D0CA7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23E9C9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1EDB663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D03D8A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top w:val="single" w:color="000000" w:sz="6" w:space="0"/>
              <w:left w:val="single" w:color="000000" w:sz="6" w:space="0"/>
              <w:right w:val="single" w:color="000000" w:sz="6" w:space="0"/>
            </w:tcBorders>
          </w:tcPr>
          <w:p w14:paraId="585D66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top w:val="single" w:color="000000" w:sz="6" w:space="0"/>
              <w:left w:val="single" w:color="000000" w:sz="6" w:space="0"/>
              <w:right w:val="double" w:color="000000" w:sz="6" w:space="0"/>
            </w:tcBorders>
          </w:tcPr>
          <w:p w14:paraId="6A41D21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BFA8E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446E361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0222C7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613921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803B33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BBE36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01158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5DD76D2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595CA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AF8F04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6727EDA4">
      <w:pPr>
        <w:pStyle w:val="12"/>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14825664">
      <w:pPr>
        <w:tabs>
          <w:tab w:val="left" w:pos="1069"/>
          <w:tab w:val="left" w:pos="2352"/>
        </w:tabs>
        <w:rPr>
          <w:rFonts w:ascii="宋体" w:hAnsi="宋体" w:cs="宋体"/>
          <w:color w:val="auto"/>
          <w:spacing w:val="20"/>
          <w:sz w:val="22"/>
          <w:highlight w:val="none"/>
        </w:rPr>
      </w:pPr>
    </w:p>
    <w:p w14:paraId="67C31569">
      <w:pPr>
        <w:tabs>
          <w:tab w:val="left" w:pos="1069"/>
          <w:tab w:val="left" w:pos="2352"/>
        </w:tabs>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21BC0B9C">
      <w:pPr>
        <w:pStyle w:val="12"/>
        <w:tabs>
          <w:tab w:val="left" w:pos="1069"/>
          <w:tab w:val="left" w:pos="2352"/>
        </w:tabs>
        <w:spacing w:line="360" w:lineRule="exact"/>
        <w:jc w:val="left"/>
        <w:rPr>
          <w:rFonts w:hAnsi="宋体" w:cs="宋体"/>
          <w:color w:val="auto"/>
          <w:sz w:val="22"/>
          <w:szCs w:val="22"/>
          <w:highlight w:val="none"/>
        </w:rPr>
      </w:pPr>
    </w:p>
    <w:p w14:paraId="56E65F22">
      <w:pPr>
        <w:pStyle w:val="12"/>
        <w:tabs>
          <w:tab w:val="left" w:pos="1069"/>
          <w:tab w:val="left" w:pos="2352"/>
        </w:tabs>
        <w:spacing w:line="360" w:lineRule="exact"/>
        <w:jc w:val="left"/>
        <w:rPr>
          <w:rFonts w:hAnsi="宋体" w:cs="宋体"/>
          <w:color w:val="auto"/>
          <w:sz w:val="22"/>
          <w:szCs w:val="22"/>
          <w:highlight w:val="none"/>
        </w:rPr>
      </w:pPr>
    </w:p>
    <w:p w14:paraId="2E1B9F12">
      <w:pPr>
        <w:pStyle w:val="12"/>
        <w:tabs>
          <w:tab w:val="left" w:pos="1069"/>
          <w:tab w:val="left" w:pos="2352"/>
        </w:tabs>
        <w:spacing w:line="360" w:lineRule="exact"/>
        <w:jc w:val="left"/>
        <w:rPr>
          <w:rFonts w:hAnsi="宋体" w:cs="宋体"/>
          <w:color w:val="auto"/>
          <w:sz w:val="22"/>
          <w:szCs w:val="22"/>
          <w:highlight w:val="none"/>
        </w:rPr>
      </w:pPr>
    </w:p>
    <w:p w14:paraId="0956D0A0">
      <w:pPr>
        <w:tabs>
          <w:tab w:val="left" w:pos="1069"/>
          <w:tab w:val="left" w:pos="2352"/>
        </w:tabs>
        <w:spacing w:line="400" w:lineRule="exact"/>
        <w:jc w:val="left"/>
        <w:rPr>
          <w:rFonts w:ascii="宋体" w:hAnsi="宋体" w:cs="宋体"/>
          <w:b/>
          <w:bCs/>
          <w:color w:val="auto"/>
          <w:sz w:val="30"/>
          <w:highlight w:val="none"/>
        </w:rPr>
      </w:pPr>
    </w:p>
    <w:p w14:paraId="3466793B">
      <w:pPr>
        <w:tabs>
          <w:tab w:val="left" w:pos="1069"/>
          <w:tab w:val="left" w:pos="2352"/>
        </w:tabs>
        <w:spacing w:line="400" w:lineRule="exact"/>
        <w:jc w:val="left"/>
        <w:rPr>
          <w:rFonts w:hint="eastAsia" w:ascii="宋体" w:hAnsi="宋体" w:cs="宋体"/>
          <w:b/>
          <w:bCs/>
          <w:color w:val="auto"/>
          <w:sz w:val="30"/>
          <w:highlight w:val="none"/>
        </w:rPr>
      </w:pPr>
    </w:p>
    <w:p w14:paraId="5CB5A4B5">
      <w:pPr>
        <w:tabs>
          <w:tab w:val="left" w:pos="1069"/>
          <w:tab w:val="left" w:pos="2352"/>
        </w:tabs>
        <w:spacing w:line="40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附件十</w:t>
      </w:r>
      <w:r>
        <w:rPr>
          <w:rFonts w:hint="eastAsia" w:ascii="宋体" w:hAnsi="宋体" w:cs="宋体"/>
          <w:b/>
          <w:bCs/>
          <w:color w:val="auto"/>
          <w:sz w:val="30"/>
          <w:highlight w:val="none"/>
          <w:lang w:val="en-US" w:eastAsia="zh-CN"/>
        </w:rPr>
        <w:t>一</w:t>
      </w:r>
    </w:p>
    <w:p w14:paraId="03E3D95A">
      <w:pPr>
        <w:tabs>
          <w:tab w:val="left" w:pos="1069"/>
          <w:tab w:val="left" w:pos="2352"/>
        </w:tabs>
        <w:spacing w:line="420" w:lineRule="exact"/>
        <w:jc w:val="center"/>
        <w:rPr>
          <w:rFonts w:ascii="宋体" w:hAnsi="宋体" w:cs="宋体"/>
          <w:b/>
          <w:bCs/>
          <w:color w:val="auto"/>
          <w:sz w:val="30"/>
          <w:highlight w:val="none"/>
        </w:rPr>
      </w:pPr>
      <w:bookmarkStart w:id="109" w:name="_Toc31819"/>
      <w:r>
        <w:rPr>
          <w:rFonts w:hint="eastAsia" w:ascii="宋体" w:hAnsi="宋体" w:cs="宋体"/>
          <w:b/>
          <w:bCs/>
          <w:color w:val="auto"/>
          <w:sz w:val="30"/>
          <w:highlight w:val="none"/>
        </w:rPr>
        <w:t>政府采购活动现场确认声明书</w:t>
      </w:r>
      <w:bookmarkEnd w:id="109"/>
    </w:p>
    <w:p w14:paraId="12E5A93E">
      <w:pPr>
        <w:pStyle w:val="40"/>
        <w:widowControl w:val="0"/>
        <w:tabs>
          <w:tab w:val="left" w:pos="1069"/>
          <w:tab w:val="left" w:pos="2352"/>
        </w:tabs>
        <w:snapToGrid w:val="0"/>
        <w:spacing w:line="420" w:lineRule="exact"/>
        <w:jc w:val="both"/>
        <w:rPr>
          <w:rFonts w:hAnsi="宋体" w:cs="宋体"/>
          <w:color w:val="auto"/>
          <w:kern w:val="0"/>
          <w:sz w:val="24"/>
          <w:szCs w:val="24"/>
          <w:highlight w:val="none"/>
          <w:u w:val="single"/>
        </w:rPr>
      </w:pPr>
    </w:p>
    <w:p w14:paraId="0B030EB0">
      <w:pPr>
        <w:pStyle w:val="40"/>
        <w:keepNext w:val="0"/>
        <w:keepLines w:val="0"/>
        <w:pageBreakBefore w:val="0"/>
        <w:widowControl w:val="0"/>
        <w:tabs>
          <w:tab w:val="left" w:pos="1069"/>
          <w:tab w:val="left" w:pos="2352"/>
        </w:tabs>
        <w:kinsoku/>
        <w:wordWrap/>
        <w:overflowPunct/>
        <w:topLinePunct w:val="0"/>
        <w:autoSpaceDE/>
        <w:autoSpaceDN/>
        <w:bidi w:val="0"/>
        <w:snapToGrid w:val="0"/>
        <w:spacing w:line="460" w:lineRule="exact"/>
        <w:jc w:val="both"/>
        <w:rPr>
          <w:rFonts w:hAnsi="宋体" w:cs="宋体"/>
          <w:color w:val="auto"/>
          <w:kern w:val="0"/>
          <w:sz w:val="22"/>
          <w:szCs w:val="22"/>
          <w:highlight w:val="none"/>
        </w:rPr>
      </w:pPr>
      <w:r>
        <w:rPr>
          <w:rFonts w:hint="eastAsia" w:hAnsi="宋体" w:cs="宋体"/>
          <w:color w:val="auto"/>
          <w:kern w:val="0"/>
          <w:sz w:val="22"/>
          <w:szCs w:val="22"/>
          <w:highlight w:val="none"/>
          <w:u w:val="single"/>
          <w:lang w:eastAsia="zh-CN"/>
        </w:rPr>
        <w:t>台州嘉亿招标代理有限责任公司  </w:t>
      </w:r>
      <w:r>
        <w:rPr>
          <w:rFonts w:hint="eastAsia" w:hAnsi="宋体" w:cs="宋体"/>
          <w:color w:val="auto"/>
          <w:kern w:val="0"/>
          <w:sz w:val="22"/>
          <w:szCs w:val="22"/>
          <w:highlight w:val="none"/>
        </w:rPr>
        <w:t>：</w:t>
      </w:r>
    </w:p>
    <w:p w14:paraId="164E13BE">
      <w:pPr>
        <w:pStyle w:val="40"/>
        <w:keepNext w:val="0"/>
        <w:keepLines w:val="0"/>
        <w:pageBreakBefore w:val="0"/>
        <w:widowControl w:val="0"/>
        <w:tabs>
          <w:tab w:val="left" w:pos="1069"/>
          <w:tab w:val="left" w:pos="2352"/>
        </w:tabs>
        <w:kinsoku/>
        <w:wordWrap/>
        <w:overflowPunct/>
        <w:topLinePunct w:val="0"/>
        <w:autoSpaceDE/>
        <w:autoSpaceDN/>
        <w:bidi w:val="0"/>
        <w:snapToGrid w:val="0"/>
        <w:spacing w:line="460" w:lineRule="exact"/>
        <w:ind w:firstLine="470" w:firstLineChars="200"/>
        <w:jc w:val="both"/>
        <w:rPr>
          <w:rFonts w:hAnsi="宋体" w:cs="宋体"/>
          <w:color w:val="auto"/>
          <w:spacing w:val="6"/>
          <w:sz w:val="22"/>
          <w:szCs w:val="22"/>
          <w:highlight w:val="none"/>
        </w:rPr>
      </w:pPr>
      <w:r>
        <w:rPr>
          <w:rFonts w:hint="eastAsia" w:hAnsi="宋体" w:cs="宋体"/>
          <w:color w:val="auto"/>
          <w:spacing w:val="6"/>
          <w:sz w:val="22"/>
          <w:szCs w:val="22"/>
          <w:highlight w:val="none"/>
        </w:rPr>
        <w:t>本人经由</w:t>
      </w:r>
      <w:r>
        <w:rPr>
          <w:rFonts w:hint="eastAsia" w:hAnsi="宋体" w:cs="宋体"/>
          <w:color w:val="auto"/>
          <w:spacing w:val="6"/>
          <w:sz w:val="22"/>
          <w:szCs w:val="22"/>
          <w:highlight w:val="none"/>
          <w:u w:val="single"/>
        </w:rPr>
        <w:t xml:space="preserve">   （供应商全称）     </w:t>
      </w:r>
      <w:r>
        <w:rPr>
          <w:rFonts w:hint="eastAsia" w:hAnsi="宋体" w:cs="宋体"/>
          <w:color w:val="auto"/>
          <w:spacing w:val="6"/>
          <w:sz w:val="22"/>
          <w:szCs w:val="22"/>
          <w:highlight w:val="none"/>
        </w:rPr>
        <w:t>负责人</w:t>
      </w:r>
      <w:r>
        <w:rPr>
          <w:rFonts w:hint="eastAsia" w:hAnsi="宋体" w:cs="宋体"/>
          <w:color w:val="auto"/>
          <w:spacing w:val="6"/>
          <w:sz w:val="22"/>
          <w:szCs w:val="22"/>
          <w:highlight w:val="none"/>
          <w:u w:val="single"/>
        </w:rPr>
        <w:t xml:space="preserve">   （法定代表人姓名）</w:t>
      </w:r>
      <w:r>
        <w:rPr>
          <w:rFonts w:hint="eastAsia" w:hAnsi="宋体" w:cs="宋体"/>
          <w:color w:val="auto"/>
          <w:spacing w:val="6"/>
          <w:sz w:val="22"/>
          <w:szCs w:val="22"/>
          <w:highlight w:val="none"/>
        </w:rPr>
        <w:t>合法授权参加</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泰顺县包垟乡环卫保洁服务</w:t>
      </w:r>
      <w:r>
        <w:rPr>
          <w:rFonts w:hint="eastAsia" w:hAnsi="宋体" w:cs="宋体"/>
          <w:color w:val="auto"/>
          <w:spacing w:val="6"/>
          <w:sz w:val="22"/>
          <w:szCs w:val="22"/>
          <w:highlight w:val="none"/>
        </w:rPr>
        <w:t>（项目编号：</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330329265190010000001-TSCG202606003</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rPr>
        <w:t xml:space="preserve">）政府采购活动，经与本单位法人代表（负责人）联系确认，现就有关公平竞争事项郑重声明如下： </w:t>
      </w:r>
    </w:p>
    <w:p w14:paraId="377C15A5">
      <w:pPr>
        <w:pStyle w:val="39"/>
        <w:keepNext w:val="0"/>
        <w:keepLines w:val="0"/>
        <w:pageBreakBefore w:val="0"/>
        <w:widowControl/>
        <w:tabs>
          <w:tab w:val="left" w:pos="1069"/>
          <w:tab w:val="left" w:pos="2352"/>
        </w:tabs>
        <w:kinsoku/>
        <w:wordWrap/>
        <w:overflowPunct/>
        <w:topLinePunct w:val="0"/>
        <w:autoSpaceDE/>
        <w:autoSpaceDN/>
        <w:bidi w:val="0"/>
        <w:adjustRightInd w:val="0"/>
        <w:snapToGrid w:val="0"/>
        <w:spacing w:line="46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一、本单位与采购人之间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4D49F807">
      <w:pPr>
        <w:pStyle w:val="39"/>
        <w:keepNext w:val="0"/>
        <w:keepLines w:val="0"/>
        <w:pageBreakBefore w:val="0"/>
        <w:widowControl/>
        <w:tabs>
          <w:tab w:val="left" w:pos="1069"/>
          <w:tab w:val="left" w:pos="2352"/>
        </w:tabs>
        <w:kinsoku/>
        <w:wordWrap/>
        <w:overflowPunct/>
        <w:topLinePunct w:val="0"/>
        <w:autoSpaceDE/>
        <w:autoSpaceDN/>
        <w:bidi w:val="0"/>
        <w:adjustRightInd w:val="0"/>
        <w:snapToGrid w:val="0"/>
        <w:spacing w:line="46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0990818B">
      <w:pPr>
        <w:pStyle w:val="39"/>
        <w:keepNext w:val="0"/>
        <w:keepLines w:val="0"/>
        <w:pageBreakBefore w:val="0"/>
        <w:widowControl/>
        <w:tabs>
          <w:tab w:val="left" w:pos="1069"/>
          <w:tab w:val="left" w:pos="2352"/>
        </w:tabs>
        <w:kinsoku/>
        <w:wordWrap/>
        <w:overflowPunct/>
        <w:topLinePunct w:val="0"/>
        <w:autoSpaceDE/>
        <w:autoSpaceDN/>
        <w:bidi w:val="0"/>
        <w:adjustRightInd w:val="0"/>
        <w:snapToGrid w:val="0"/>
        <w:spacing w:line="46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3DD2E6DC">
      <w:pPr>
        <w:pStyle w:val="39"/>
        <w:keepNext w:val="0"/>
        <w:keepLines w:val="0"/>
        <w:pageBreakBefore w:val="0"/>
        <w:widowControl/>
        <w:tabs>
          <w:tab w:val="left" w:pos="1069"/>
          <w:tab w:val="left" w:pos="2352"/>
        </w:tabs>
        <w:kinsoku/>
        <w:wordWrap/>
        <w:overflowPunct/>
        <w:topLinePunct w:val="0"/>
        <w:autoSpaceDE/>
        <w:autoSpaceDN/>
        <w:bidi w:val="0"/>
        <w:adjustRightInd w:val="0"/>
        <w:snapToGrid w:val="0"/>
        <w:spacing w:line="460" w:lineRule="exact"/>
        <w:ind w:firstLine="470" w:firstLineChars="200"/>
        <w:textAlignment w:val="baseline"/>
        <w:rPr>
          <w:rFonts w:ascii="宋体" w:hAnsi="宋体" w:cs="宋体"/>
          <w:color w:val="auto"/>
          <w:kern w:val="0"/>
          <w:sz w:val="22"/>
          <w:szCs w:val="22"/>
          <w:highlight w:val="none"/>
        </w:rPr>
      </w:pPr>
      <w:r>
        <w:rPr>
          <w:rFonts w:ascii="宋体" w:hAnsi="宋体" w:cs="宋体"/>
          <w:color w:val="auto"/>
          <w:spacing w:val="6"/>
          <w:sz w:val="22"/>
          <w:szCs w:val="22"/>
          <w:highlight w:val="none"/>
        </w:rPr>
        <w:t>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18231EC6">
      <w:pPr>
        <w:pStyle w:val="40"/>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6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A.法定代表人或负责人或实际控制人是同一人</w:t>
      </w:r>
    </w:p>
    <w:p w14:paraId="15B97F6E">
      <w:pPr>
        <w:pStyle w:val="40"/>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6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B.法定代表人或负责人或实际控制人是夫妻关系</w:t>
      </w:r>
    </w:p>
    <w:p w14:paraId="5A034741">
      <w:pPr>
        <w:pStyle w:val="40"/>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6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C.法定代表人或负责人或实际控制人是直系血亲关系</w:t>
      </w:r>
    </w:p>
    <w:p w14:paraId="7B8A3819">
      <w:pPr>
        <w:pStyle w:val="40"/>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6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D.法定代表人或负责人或实际控制人存在三代以内旁系血亲关系</w:t>
      </w:r>
    </w:p>
    <w:p w14:paraId="020149BF">
      <w:pPr>
        <w:pStyle w:val="40"/>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6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E.法定代表人或负责人或实际控制人存在近姻亲关系</w:t>
      </w:r>
    </w:p>
    <w:p w14:paraId="5B2071AE">
      <w:pPr>
        <w:pStyle w:val="40"/>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6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F.法定代表人或负责人或实际控制人存在股份控制或实际控制关系</w:t>
      </w:r>
    </w:p>
    <w:p w14:paraId="7CB20441">
      <w:pPr>
        <w:pStyle w:val="40"/>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6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G.存在共同直接或间接投资设立子公司、联营企业和合营企业情况</w:t>
      </w:r>
    </w:p>
    <w:p w14:paraId="1647BD0E">
      <w:pPr>
        <w:pStyle w:val="40"/>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60" w:lineRule="exact"/>
        <w:ind w:firstLine="446" w:firstLineChars="200"/>
        <w:jc w:val="both"/>
        <w:textAlignment w:val="baseline"/>
        <w:rPr>
          <w:rFonts w:hAnsi="宋体" w:cs="宋体"/>
          <w:color w:val="auto"/>
          <w:sz w:val="22"/>
          <w:szCs w:val="22"/>
          <w:highlight w:val="none"/>
        </w:rPr>
      </w:pPr>
      <w:r>
        <w:rPr>
          <w:rFonts w:hint="eastAsia" w:hAnsi="宋体" w:cs="宋体"/>
          <w:color w:val="auto"/>
          <w:kern w:val="0"/>
          <w:sz w:val="22"/>
          <w:szCs w:val="22"/>
          <w:highlight w:val="none"/>
        </w:rPr>
        <w:t xml:space="preserve">  H.存在分级代理或代销关系、同一生产制造商关系、</w:t>
      </w:r>
      <w:r>
        <w:rPr>
          <w:rFonts w:hint="eastAsia" w:hAnsi="宋体" w:cs="宋体"/>
          <w:color w:val="auto"/>
          <w:sz w:val="22"/>
          <w:szCs w:val="22"/>
          <w:highlight w:val="none"/>
        </w:rPr>
        <w:t>管理关系、重要业务（占主营业务收入50%以上）或重要财务往来关系（如融资）等其他实质性控制关系</w:t>
      </w:r>
    </w:p>
    <w:p w14:paraId="0C480C47">
      <w:pPr>
        <w:pStyle w:val="40"/>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6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sz w:val="22"/>
          <w:szCs w:val="22"/>
          <w:highlight w:val="none"/>
        </w:rPr>
        <w:t xml:space="preserve">  I</w:t>
      </w:r>
      <w:r>
        <w:rPr>
          <w:rFonts w:hint="eastAsia" w:hAnsi="宋体" w:cs="宋体"/>
          <w:color w:val="auto"/>
          <w:kern w:val="0"/>
          <w:sz w:val="22"/>
          <w:szCs w:val="22"/>
          <w:highlight w:val="none"/>
        </w:rPr>
        <w:t>.</w:t>
      </w:r>
      <w:r>
        <w:rPr>
          <w:rFonts w:hint="eastAsia" w:hAnsi="宋体" w:cs="宋体"/>
          <w:color w:val="auto"/>
          <w:sz w:val="22"/>
          <w:szCs w:val="22"/>
          <w:highlight w:val="none"/>
        </w:rPr>
        <w:t>其他利害关系情况</w:t>
      </w:r>
      <w:r>
        <w:rPr>
          <w:rFonts w:hint="eastAsia" w:hAnsi="宋体" w:cs="宋体"/>
          <w:color w:val="auto"/>
          <w:sz w:val="22"/>
          <w:szCs w:val="22"/>
          <w:highlight w:val="none"/>
          <w:u w:val="single"/>
        </w:rPr>
        <w:t xml:space="preserve">                              </w:t>
      </w:r>
      <w:r>
        <w:rPr>
          <w:rFonts w:hint="eastAsia" w:hAnsi="宋体" w:cs="宋体"/>
          <w:color w:val="auto"/>
          <w:kern w:val="0"/>
          <w:sz w:val="22"/>
          <w:szCs w:val="22"/>
          <w:highlight w:val="none"/>
        </w:rPr>
        <w:t>。</w:t>
      </w:r>
    </w:p>
    <w:p w14:paraId="649F6042">
      <w:pPr>
        <w:pStyle w:val="39"/>
        <w:keepNext w:val="0"/>
        <w:keepLines w:val="0"/>
        <w:pageBreakBefore w:val="0"/>
        <w:widowControl/>
        <w:tabs>
          <w:tab w:val="left" w:pos="1069"/>
          <w:tab w:val="left" w:pos="2352"/>
        </w:tabs>
        <w:kinsoku/>
        <w:wordWrap/>
        <w:overflowPunct/>
        <w:topLinePunct w:val="0"/>
        <w:autoSpaceDE/>
        <w:autoSpaceDN/>
        <w:bidi w:val="0"/>
        <w:adjustRightInd w:val="0"/>
        <w:snapToGrid w:val="0"/>
        <w:spacing w:line="46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sz w:val="22"/>
          <w:szCs w:val="22"/>
          <w:highlight w:val="none"/>
        </w:rPr>
        <w:t>三、现已清楚知道并</w:t>
      </w:r>
      <w:r>
        <w:rPr>
          <w:rFonts w:ascii="宋体" w:hAnsi="宋体" w:cs="宋体"/>
          <w:color w:val="auto"/>
          <w:kern w:val="0"/>
          <w:sz w:val="22"/>
          <w:szCs w:val="22"/>
          <w:highlight w:val="none"/>
        </w:rPr>
        <w:t>严格遵守政府采购法律法规和现场纪律。</w:t>
      </w:r>
    </w:p>
    <w:p w14:paraId="0E115FB2">
      <w:pPr>
        <w:pStyle w:val="39"/>
        <w:keepNext w:val="0"/>
        <w:keepLines w:val="0"/>
        <w:pageBreakBefore w:val="0"/>
        <w:widowControl/>
        <w:tabs>
          <w:tab w:val="left" w:pos="1069"/>
          <w:tab w:val="left" w:pos="2352"/>
        </w:tabs>
        <w:kinsoku/>
        <w:wordWrap/>
        <w:overflowPunct/>
        <w:topLinePunct w:val="0"/>
        <w:autoSpaceDE/>
        <w:autoSpaceDN/>
        <w:bidi w:val="0"/>
        <w:adjustRightInd w:val="0"/>
        <w:snapToGrid w:val="0"/>
        <w:spacing w:line="460" w:lineRule="exact"/>
        <w:ind w:firstLine="446" w:firstLineChars="200"/>
        <w:textAlignment w:val="baseline"/>
        <w:rPr>
          <w:rFonts w:ascii="宋体" w:hAnsi="宋体" w:cs="宋体"/>
          <w:color w:val="auto"/>
          <w:kern w:val="0"/>
          <w:sz w:val="22"/>
          <w:szCs w:val="22"/>
          <w:highlight w:val="none"/>
        </w:rPr>
      </w:pPr>
      <w:r>
        <w:rPr>
          <w:rFonts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68D0BF8E">
      <w:pPr>
        <w:pStyle w:val="40"/>
        <w:keepNext w:val="0"/>
        <w:keepLines w:val="0"/>
        <w:pageBreakBefore w:val="0"/>
        <w:widowControl w:val="0"/>
        <w:tabs>
          <w:tab w:val="left" w:pos="1069"/>
          <w:tab w:val="left" w:pos="2352"/>
        </w:tabs>
        <w:kinsoku/>
        <w:wordWrap/>
        <w:overflowPunct/>
        <w:topLinePunct w:val="0"/>
        <w:autoSpaceDE/>
        <w:autoSpaceDN/>
        <w:bidi w:val="0"/>
        <w:snapToGrid w:val="0"/>
        <w:spacing w:line="460" w:lineRule="exact"/>
        <w:ind w:firstLine="446" w:firstLineChars="200"/>
        <w:jc w:val="both"/>
        <w:rPr>
          <w:rFonts w:hAnsi="宋体" w:cs="宋体"/>
          <w:color w:val="auto"/>
          <w:sz w:val="22"/>
          <w:szCs w:val="22"/>
          <w:highlight w:val="none"/>
        </w:rPr>
      </w:pPr>
    </w:p>
    <w:p w14:paraId="0E1FE7EB">
      <w:pPr>
        <w:pStyle w:val="40"/>
        <w:keepNext w:val="0"/>
        <w:keepLines w:val="0"/>
        <w:pageBreakBefore w:val="0"/>
        <w:widowControl w:val="0"/>
        <w:tabs>
          <w:tab w:val="left" w:pos="1069"/>
          <w:tab w:val="left" w:pos="2352"/>
        </w:tabs>
        <w:kinsoku/>
        <w:wordWrap/>
        <w:overflowPunct/>
        <w:topLinePunct w:val="0"/>
        <w:autoSpaceDE/>
        <w:autoSpaceDN/>
        <w:bidi w:val="0"/>
        <w:snapToGrid w:val="0"/>
        <w:spacing w:line="460" w:lineRule="exact"/>
        <w:ind w:firstLine="446" w:firstLineChars="200"/>
        <w:jc w:val="both"/>
        <w:rPr>
          <w:rFonts w:hAnsi="宋体" w:cs="宋体"/>
          <w:color w:val="auto"/>
          <w:sz w:val="22"/>
          <w:szCs w:val="22"/>
          <w:highlight w:val="none"/>
        </w:rPr>
      </w:pPr>
      <w:r>
        <w:rPr>
          <w:rFonts w:hint="eastAsia" w:hAnsi="宋体" w:cs="宋体"/>
          <w:color w:val="auto"/>
          <w:sz w:val="22"/>
          <w:szCs w:val="22"/>
          <w:highlight w:val="none"/>
        </w:rPr>
        <w:t xml:space="preserve">                                     供应商代表签名：</w:t>
      </w:r>
    </w:p>
    <w:p w14:paraId="53C27FB2">
      <w:pPr>
        <w:keepNext w:val="0"/>
        <w:keepLines w:val="0"/>
        <w:pageBreakBefore w:val="0"/>
        <w:widowControl w:val="0"/>
        <w:tabs>
          <w:tab w:val="left" w:pos="1069"/>
          <w:tab w:val="left" w:pos="2352"/>
        </w:tabs>
        <w:kinsoku/>
        <w:wordWrap/>
        <w:overflowPunct/>
        <w:topLinePunct w:val="0"/>
        <w:autoSpaceDE/>
        <w:autoSpaceDN/>
        <w:bidi w:val="0"/>
        <w:spacing w:before="317" w:beforeLines="100" w:after="317" w:afterLines="100" w:line="460" w:lineRule="exact"/>
        <w:ind w:left="4928" w:leftChars="2314" w:firstLine="892" w:firstLineChars="400"/>
        <w:rPr>
          <w:rFonts w:ascii="宋体" w:hAnsi="宋体" w:cs="宋体"/>
          <w:color w:val="auto"/>
          <w:sz w:val="22"/>
          <w:highlight w:val="none"/>
        </w:rPr>
      </w:pPr>
      <w:r>
        <w:rPr>
          <w:rFonts w:hint="eastAsia" w:ascii="宋体" w:hAnsi="宋体" w:cs="宋体"/>
          <w:color w:val="auto"/>
          <w:sz w:val="22"/>
          <w:highlight w:val="none"/>
        </w:rPr>
        <w:t>年  月  日</w:t>
      </w:r>
    </w:p>
    <w:p w14:paraId="65D3E2D1">
      <w:pPr>
        <w:pStyle w:val="12"/>
        <w:tabs>
          <w:tab w:val="left" w:pos="1069"/>
          <w:tab w:val="left" w:pos="2352"/>
        </w:tabs>
        <w:spacing w:line="360" w:lineRule="exact"/>
        <w:jc w:val="left"/>
        <w:rPr>
          <w:rFonts w:hAnsi="宋体" w:cs="宋体"/>
          <w:b/>
          <w:color w:val="auto"/>
          <w:sz w:val="32"/>
          <w:szCs w:val="32"/>
          <w:highlight w:val="none"/>
          <w:lang w:val="zh-CN"/>
        </w:rPr>
      </w:pPr>
      <w:r>
        <w:rPr>
          <w:rFonts w:hint="eastAsia" w:hAnsi="宋体" w:cs="宋体"/>
          <w:color w:val="auto"/>
          <w:sz w:val="22"/>
          <w:szCs w:val="22"/>
          <w:highlight w:val="none"/>
        </w:rPr>
        <w:br w:type="page"/>
      </w:r>
      <w:bookmarkStart w:id="110" w:name="_Toc24860_WPSOffice_Level1"/>
      <w:r>
        <w:rPr>
          <w:rFonts w:hint="eastAsia" w:hAnsi="宋体" w:cs="宋体"/>
          <w:color w:val="auto"/>
          <w:sz w:val="22"/>
          <w:szCs w:val="22"/>
          <w:highlight w:val="none"/>
        </w:rPr>
        <w:t xml:space="preserve">                           </w:t>
      </w:r>
      <w:r>
        <w:rPr>
          <w:rFonts w:hint="eastAsia" w:hAnsi="宋体" w:cs="宋体"/>
          <w:b/>
          <w:color w:val="auto"/>
          <w:sz w:val="32"/>
          <w:szCs w:val="32"/>
          <w:highlight w:val="none"/>
          <w:lang w:val="zh-CN"/>
        </w:rPr>
        <w:t>第</w:t>
      </w:r>
      <w:r>
        <w:rPr>
          <w:rFonts w:hint="eastAsia" w:hAnsi="宋体" w:cs="宋体"/>
          <w:b/>
          <w:color w:val="auto"/>
          <w:sz w:val="32"/>
          <w:szCs w:val="32"/>
          <w:highlight w:val="none"/>
        </w:rPr>
        <w:t>七</w:t>
      </w:r>
      <w:r>
        <w:rPr>
          <w:rFonts w:hint="eastAsia" w:hAnsi="宋体" w:cs="宋体"/>
          <w:b/>
          <w:color w:val="auto"/>
          <w:sz w:val="32"/>
          <w:szCs w:val="32"/>
          <w:highlight w:val="none"/>
          <w:lang w:val="zh-CN"/>
        </w:rPr>
        <w:t>部分</w:t>
      </w:r>
      <w:bookmarkEnd w:id="110"/>
      <w:r>
        <w:rPr>
          <w:rFonts w:hint="eastAsia" w:hAnsi="宋体" w:cs="宋体"/>
          <w:b/>
          <w:color w:val="auto"/>
          <w:sz w:val="32"/>
          <w:szCs w:val="32"/>
          <w:highlight w:val="none"/>
        </w:rPr>
        <w:t>、</w:t>
      </w:r>
      <w:r>
        <w:rPr>
          <w:rFonts w:hint="eastAsia" w:hAnsi="宋体" w:cs="宋体"/>
          <w:b/>
          <w:color w:val="auto"/>
          <w:sz w:val="32"/>
          <w:szCs w:val="32"/>
          <w:highlight w:val="none"/>
          <w:lang w:val="zh-CN"/>
        </w:rPr>
        <w:t>评标办法</w:t>
      </w:r>
    </w:p>
    <w:p w14:paraId="402B1EE3">
      <w:pPr>
        <w:tabs>
          <w:tab w:val="left" w:pos="1069"/>
          <w:tab w:val="left" w:pos="2352"/>
        </w:tabs>
        <w:snapToGrid w:val="0"/>
        <w:spacing w:line="380" w:lineRule="exact"/>
        <w:ind w:firstLine="540"/>
        <w:rPr>
          <w:rFonts w:hint="eastAsia" w:ascii="宋体" w:hAnsi="宋体" w:cs="宋体"/>
          <w:color w:val="auto"/>
          <w:sz w:val="22"/>
          <w:highlight w:val="none"/>
        </w:rPr>
      </w:pPr>
    </w:p>
    <w:p w14:paraId="1469E413">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根据《中华人民共和国政府采购法》等有关政府采购法规，结合本次所要采购项目的实际，按照公平、公正、科学、择优的原则选择中标（成交）单位，特制定本评审办法。</w:t>
      </w:r>
    </w:p>
    <w:p w14:paraId="11518562">
      <w:pPr>
        <w:tabs>
          <w:tab w:val="left" w:pos="1069"/>
          <w:tab w:val="left" w:pos="2352"/>
        </w:tabs>
        <w:snapToGrid w:val="0"/>
        <w:spacing w:line="380" w:lineRule="exact"/>
        <w:ind w:firstLine="3846" w:firstLineChars="1725"/>
        <w:rPr>
          <w:rFonts w:hint="eastAsia" w:ascii="宋体" w:hAnsi="宋体" w:cs="宋体"/>
          <w:b/>
          <w:color w:val="auto"/>
          <w:sz w:val="22"/>
          <w:highlight w:val="none"/>
        </w:rPr>
      </w:pPr>
      <w:bookmarkStart w:id="111" w:name="_Toc32552_WPSOffice_Level2"/>
    </w:p>
    <w:p w14:paraId="3E62F4F5">
      <w:pPr>
        <w:tabs>
          <w:tab w:val="left" w:pos="1069"/>
          <w:tab w:val="left" w:pos="2352"/>
        </w:tabs>
        <w:snapToGrid w:val="0"/>
        <w:spacing w:line="380" w:lineRule="exact"/>
        <w:ind w:firstLine="3846" w:firstLineChars="1725"/>
        <w:rPr>
          <w:rFonts w:ascii="宋体" w:hAnsi="宋体" w:cs="宋体"/>
          <w:b/>
          <w:color w:val="auto"/>
          <w:sz w:val="22"/>
          <w:highlight w:val="none"/>
        </w:rPr>
      </w:pPr>
      <w:r>
        <w:rPr>
          <w:rFonts w:hint="eastAsia" w:ascii="宋体" w:hAnsi="宋体" w:cs="宋体"/>
          <w:b/>
          <w:color w:val="auto"/>
          <w:sz w:val="22"/>
          <w:highlight w:val="none"/>
        </w:rPr>
        <w:t>一、总则</w:t>
      </w:r>
      <w:bookmarkEnd w:id="111"/>
    </w:p>
    <w:p w14:paraId="76130340">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评审工作遵循公平、公正、民主、科学的原则和诚实、信誉、效率的服务原则。本着科学、严谨的态度，认真进行评审。择优选定提供服务单位，最大限度</w:t>
      </w:r>
      <w:r>
        <w:rPr>
          <w:rFonts w:hint="eastAsia" w:ascii="宋体" w:hAnsi="宋体" w:cs="宋体"/>
          <w:color w:val="auto"/>
          <w:sz w:val="22"/>
          <w:highlight w:val="none"/>
          <w:lang w:eastAsia="zh-CN"/>
        </w:rPr>
        <w:t>地</w:t>
      </w:r>
      <w:r>
        <w:rPr>
          <w:rFonts w:hint="eastAsia" w:ascii="宋体" w:hAnsi="宋体" w:cs="宋体"/>
          <w:color w:val="auto"/>
          <w:sz w:val="22"/>
          <w:highlight w:val="none"/>
        </w:rPr>
        <w:t>保护当事人权益，严格按照竞争性磋商文件的商务、技术要求，对投标（响应）文件进行综合评定，提出优选方案，编写评审报告。评审小组必须严格遵守保密规定，</w:t>
      </w:r>
      <w:r>
        <w:rPr>
          <w:rFonts w:hint="eastAsia" w:ascii="宋体" w:hAnsi="宋体" w:cs="宋体"/>
          <w:color w:val="auto"/>
          <w:sz w:val="22"/>
          <w:highlight w:val="none"/>
          <w:lang w:eastAsia="zh-CN"/>
        </w:rPr>
        <w:t>不得泄露</w:t>
      </w:r>
      <w:r>
        <w:rPr>
          <w:rFonts w:hint="eastAsia" w:ascii="宋体" w:hAnsi="宋体" w:cs="宋体"/>
          <w:color w:val="auto"/>
          <w:sz w:val="22"/>
          <w:highlight w:val="none"/>
        </w:rPr>
        <w:t>评审的有关情况，不得索贿受贿，不得接受吃请和礼品，不得参加影响公正评审的有关活动。对未中标（成交）单位，评审小组不</w:t>
      </w:r>
      <w:r>
        <w:rPr>
          <w:rFonts w:hint="eastAsia" w:ascii="宋体" w:hAnsi="宋体" w:cs="宋体"/>
          <w:color w:val="auto"/>
          <w:sz w:val="22"/>
          <w:highlight w:val="none"/>
          <w:lang w:eastAsia="zh-CN"/>
        </w:rPr>
        <w:t>做任何解释</w:t>
      </w:r>
      <w:r>
        <w:rPr>
          <w:rFonts w:hint="eastAsia" w:ascii="宋体" w:hAnsi="宋体" w:cs="宋体"/>
          <w:color w:val="auto"/>
          <w:sz w:val="22"/>
          <w:highlight w:val="none"/>
        </w:rPr>
        <w:t>。供应商不得以任何方式干扰采购工作的进行，一经发现其投标（响应）文件将被拒绝。</w:t>
      </w:r>
    </w:p>
    <w:p w14:paraId="2FA37B8F">
      <w:pPr>
        <w:tabs>
          <w:tab w:val="left" w:pos="1069"/>
          <w:tab w:val="left" w:pos="2352"/>
        </w:tabs>
        <w:snapToGrid w:val="0"/>
        <w:spacing w:line="380" w:lineRule="exact"/>
        <w:ind w:firstLine="3846" w:firstLineChars="1725"/>
        <w:rPr>
          <w:rFonts w:hint="eastAsia" w:ascii="宋体" w:hAnsi="宋体" w:cs="宋体"/>
          <w:b/>
          <w:color w:val="auto"/>
          <w:sz w:val="22"/>
          <w:highlight w:val="none"/>
        </w:rPr>
      </w:pPr>
      <w:bookmarkStart w:id="112" w:name="_Toc15399_WPSOffice_Level2"/>
    </w:p>
    <w:p w14:paraId="5FF24EF8">
      <w:pPr>
        <w:tabs>
          <w:tab w:val="left" w:pos="1069"/>
          <w:tab w:val="left" w:pos="2352"/>
        </w:tabs>
        <w:snapToGrid w:val="0"/>
        <w:spacing w:line="380" w:lineRule="exact"/>
        <w:ind w:firstLine="3846" w:firstLineChars="1725"/>
        <w:rPr>
          <w:rFonts w:ascii="宋体" w:hAnsi="宋体" w:cs="宋体"/>
          <w:color w:val="auto"/>
          <w:sz w:val="22"/>
          <w:highlight w:val="none"/>
        </w:rPr>
      </w:pPr>
      <w:r>
        <w:rPr>
          <w:rFonts w:hint="eastAsia" w:ascii="宋体" w:hAnsi="宋体" w:cs="宋体"/>
          <w:b/>
          <w:color w:val="auto"/>
          <w:sz w:val="22"/>
          <w:highlight w:val="none"/>
        </w:rPr>
        <w:t>二、评审组织</w:t>
      </w:r>
      <w:bookmarkEnd w:id="112"/>
    </w:p>
    <w:p w14:paraId="1E4413BA">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评审工作由采购人依法组建的评审小组负责，评审小组由采购人代表以及评审专家库中随机抽取的有关技术、经济专家共同组成。评审全过程由采购管理部门全程监督。</w:t>
      </w:r>
    </w:p>
    <w:p w14:paraId="198EBA0F">
      <w:pPr>
        <w:tabs>
          <w:tab w:val="left" w:pos="1069"/>
          <w:tab w:val="left" w:pos="2352"/>
        </w:tabs>
        <w:snapToGrid w:val="0"/>
        <w:spacing w:line="380" w:lineRule="exact"/>
        <w:ind w:firstLine="1774" w:firstLineChars="796"/>
        <w:rPr>
          <w:rFonts w:hint="eastAsia" w:ascii="宋体" w:hAnsi="宋体" w:cs="宋体"/>
          <w:b/>
          <w:color w:val="auto"/>
          <w:sz w:val="22"/>
          <w:highlight w:val="none"/>
        </w:rPr>
      </w:pPr>
      <w:bookmarkStart w:id="113" w:name="_Toc7010_WPSOffice_Level2"/>
    </w:p>
    <w:p w14:paraId="1FCAD5AC">
      <w:pPr>
        <w:tabs>
          <w:tab w:val="left" w:pos="1069"/>
          <w:tab w:val="left" w:pos="2352"/>
        </w:tabs>
        <w:snapToGrid w:val="0"/>
        <w:spacing w:line="380" w:lineRule="exact"/>
        <w:ind w:firstLine="1774" w:firstLineChars="796"/>
        <w:rPr>
          <w:rFonts w:ascii="宋体" w:hAnsi="宋体" w:cs="宋体"/>
          <w:color w:val="auto"/>
          <w:sz w:val="22"/>
          <w:highlight w:val="none"/>
        </w:rPr>
      </w:pPr>
      <w:r>
        <w:rPr>
          <w:rFonts w:hint="eastAsia" w:ascii="宋体" w:hAnsi="宋体" w:cs="宋体"/>
          <w:b/>
          <w:color w:val="auto"/>
          <w:sz w:val="22"/>
          <w:highlight w:val="none"/>
        </w:rPr>
        <w:t>三、投标（响应）文件递交截止、磋商程序、磋商原则和方式</w:t>
      </w:r>
      <w:bookmarkEnd w:id="113"/>
    </w:p>
    <w:p w14:paraId="781926B2">
      <w:pPr>
        <w:pStyle w:val="12"/>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w:t>
      </w:r>
      <w:r>
        <w:rPr>
          <w:rFonts w:hint="eastAsia" w:hAnsi="宋体" w:cs="宋体"/>
          <w:color w:val="auto"/>
          <w:sz w:val="22"/>
          <w:highlight w:val="none"/>
          <w:lang w:eastAsia="zh-CN"/>
        </w:rPr>
        <w:t>.</w:t>
      </w:r>
      <w:r>
        <w:rPr>
          <w:rFonts w:hint="eastAsia" w:hAnsi="宋体" w:cs="宋体"/>
          <w:color w:val="auto"/>
          <w:sz w:val="22"/>
          <w:highlight w:val="none"/>
        </w:rPr>
        <w:t>投标（响应）文件递交截止</w:t>
      </w:r>
    </w:p>
    <w:p w14:paraId="0ACAD9EA">
      <w:pPr>
        <w:pStyle w:val="12"/>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投标供应商须按竞争性磋商文件规定的时间在线递交投标（响应）文件。</w:t>
      </w:r>
    </w:p>
    <w:p w14:paraId="6A0B09EE">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lang w:eastAsia="zh-CN"/>
        </w:rPr>
        <w:t>2.</w:t>
      </w:r>
      <w:r>
        <w:rPr>
          <w:rFonts w:hint="eastAsia" w:hAnsi="宋体" w:cs="宋体"/>
          <w:color w:val="auto"/>
          <w:sz w:val="22"/>
          <w:highlight w:val="none"/>
        </w:rPr>
        <w:t>本次采购是根据竞争性磋商采购方式进行，各供应商首次报价不公开。</w:t>
      </w:r>
    </w:p>
    <w:p w14:paraId="27FD0A69">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2.1 如评审小组认为竞争性磋商文件能够详细列明采购标的的技术、服务要求的，评审结束后，评审小组可以直接对供应商进行打分评价。</w:t>
      </w:r>
    </w:p>
    <w:p w14:paraId="35088C62">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211370E2">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对竞争性磋商文件作出的实质性变动是竞争性磋商文件的有效组成部分，评审小组应当及时以书面形式同时通知所有参加磋商的供应商。</w:t>
      </w:r>
    </w:p>
    <w:p w14:paraId="1A6F3F9E">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0374E527">
      <w:pPr>
        <w:tabs>
          <w:tab w:val="left" w:pos="1069"/>
          <w:tab w:val="left" w:pos="2352"/>
        </w:tabs>
        <w:adjustRightInd w:val="0"/>
        <w:spacing w:line="380" w:lineRule="exact"/>
        <w:ind w:firstLine="420"/>
        <w:rPr>
          <w:rFonts w:ascii="宋体" w:hAnsi="宋体" w:cs="宋体"/>
          <w:color w:val="auto"/>
          <w:sz w:val="22"/>
          <w:highlight w:val="none"/>
        </w:rPr>
      </w:pPr>
      <w:r>
        <w:rPr>
          <w:rFonts w:hint="eastAsia" w:ascii="宋体" w:hAnsi="宋体" w:cs="宋体"/>
          <w:color w:val="auto"/>
          <w:sz w:val="22"/>
          <w:highlight w:val="none"/>
        </w:rPr>
        <w:t>已提交投标（响应）文件的供应商，在提交最终报价之前，可以根据磋商情况退出磋商。</w:t>
      </w:r>
    </w:p>
    <w:p w14:paraId="7B450BC5">
      <w:pPr>
        <w:pStyle w:val="12"/>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3F48C1F9">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lang w:eastAsia="zh-CN"/>
        </w:rPr>
        <w:t>3.</w:t>
      </w:r>
      <w:r>
        <w:rPr>
          <w:rFonts w:hint="eastAsia" w:hAnsi="宋体" w:cs="宋体"/>
          <w:color w:val="auto"/>
          <w:sz w:val="22"/>
          <w:highlight w:val="none"/>
        </w:rPr>
        <w:t>评审原则和方法</w:t>
      </w:r>
    </w:p>
    <w:p w14:paraId="4CBDE928">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3.1 评审小组负责审查投标（响应）文件是否符合竞争性磋商文件的要求，并作出评价。评审小组认为必要时，可向供应商进行质疑。评审小组有权决定全部或部分供应商投标（响应）文件无效。</w:t>
      </w:r>
    </w:p>
    <w:p w14:paraId="6B3E6D0B">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3.2 评审小组将综合分析合格供应商的各项指标，而不是以单项指标的优劣评选出成交的供应商。</w:t>
      </w:r>
    </w:p>
    <w:p w14:paraId="713404FB">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3ED896AB">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本次评审采用综合评分法，评审小组根据竞争性磋商文件制定的评审办法对供应商进行评审排序，将综合得分第一的供应商向采购人推荐其为中标（成交）供应商。</w:t>
      </w:r>
    </w:p>
    <w:p w14:paraId="26449A75">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lang w:eastAsia="zh-CN"/>
        </w:rPr>
        <w:t>4.</w:t>
      </w:r>
      <w:r>
        <w:rPr>
          <w:rFonts w:hint="eastAsia" w:hAnsi="宋体" w:cs="宋体"/>
          <w:color w:val="auto"/>
          <w:sz w:val="22"/>
          <w:highlight w:val="none"/>
        </w:rPr>
        <w:t>投标（响应）文件的澄清</w:t>
      </w:r>
    </w:p>
    <w:p w14:paraId="5A319294">
      <w:pPr>
        <w:pStyle w:val="12"/>
        <w:tabs>
          <w:tab w:val="left" w:pos="1069"/>
          <w:tab w:val="left" w:pos="2352"/>
        </w:tabs>
        <w:adjustRightInd w:val="0"/>
        <w:snapToGrid w:val="0"/>
        <w:spacing w:line="380" w:lineRule="exact"/>
        <w:ind w:firstLine="223" w:firstLineChars="100"/>
        <w:rPr>
          <w:rFonts w:hAnsi="宋体" w:cs="宋体"/>
          <w:b/>
          <w:color w:val="auto"/>
          <w:sz w:val="22"/>
          <w:highlight w:val="none"/>
        </w:rPr>
      </w:pPr>
      <w:r>
        <w:rPr>
          <w:rFonts w:hint="eastAsia" w:hAnsi="宋体" w:cs="宋体"/>
          <w:color w:val="auto"/>
          <w:sz w:val="22"/>
          <w:highlight w:val="none"/>
        </w:rPr>
        <w:t>为有利于对投标（响应）文件的评议，必要时采购人可要求供应商对投标（响应）文件进行澄清，并作出答复。答复须有供应商授权代表签字并作为投标（响应）文件内容的一部分。</w:t>
      </w:r>
    </w:p>
    <w:p w14:paraId="690963B2">
      <w:pPr>
        <w:tabs>
          <w:tab w:val="left" w:pos="1069"/>
          <w:tab w:val="left" w:pos="2352"/>
        </w:tabs>
        <w:rPr>
          <w:color w:val="auto"/>
          <w:highlight w:val="none"/>
        </w:rPr>
      </w:pPr>
      <w:bookmarkStart w:id="114" w:name="_Toc28287_WPSOffice_Level2"/>
    </w:p>
    <w:p w14:paraId="6A590C99">
      <w:pPr>
        <w:pStyle w:val="12"/>
        <w:numPr>
          <w:ilvl w:val="0"/>
          <w:numId w:val="8"/>
        </w:numPr>
        <w:tabs>
          <w:tab w:val="left" w:pos="1069"/>
          <w:tab w:val="left" w:pos="2352"/>
        </w:tabs>
        <w:adjustRightInd w:val="0"/>
        <w:snapToGrid w:val="0"/>
        <w:spacing w:line="380" w:lineRule="exact"/>
        <w:ind w:left="0" w:firstLine="446" w:firstLineChars="200"/>
        <w:jc w:val="center"/>
        <w:rPr>
          <w:rFonts w:hAnsi="宋体" w:cs="宋体"/>
          <w:b/>
          <w:bCs/>
          <w:color w:val="auto"/>
          <w:sz w:val="22"/>
          <w:highlight w:val="none"/>
        </w:rPr>
      </w:pPr>
      <w:r>
        <w:rPr>
          <w:rFonts w:hint="eastAsia" w:hAnsi="宋体" w:cs="宋体"/>
          <w:b/>
          <w:bCs/>
          <w:color w:val="auto"/>
          <w:sz w:val="22"/>
          <w:highlight w:val="none"/>
        </w:rPr>
        <w:t>评审细则</w:t>
      </w:r>
      <w:bookmarkEnd w:id="114"/>
      <w:bookmarkStart w:id="115" w:name="_Toc20707_WPSOffice_Level3"/>
    </w:p>
    <w:bookmarkEnd w:id="115"/>
    <w:p w14:paraId="32DBC070">
      <w:pPr>
        <w:pStyle w:val="34"/>
        <w:tabs>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（一）报价评分</w:t>
      </w:r>
      <w:r>
        <w:rPr>
          <w:rFonts w:hint="eastAsia" w:ascii="Calibri" w:hAnsi="Calibri"/>
          <w:b/>
          <w:bCs/>
          <w:color w:val="auto"/>
          <w:sz w:val="22"/>
          <w:szCs w:val="22"/>
          <w:highlight w:val="none"/>
        </w:rPr>
        <w:t>（满分</w:t>
      </w:r>
      <w:r>
        <w:rPr>
          <w:rFonts w:hint="eastAsia" w:ascii="Calibri" w:hAnsi="Calibri"/>
          <w:b/>
          <w:bCs/>
          <w:color w:val="auto"/>
          <w:sz w:val="22"/>
          <w:szCs w:val="22"/>
          <w:highlight w:val="none"/>
          <w:lang w:val="en-US" w:eastAsia="zh-CN"/>
        </w:rPr>
        <w:t>2</w:t>
      </w:r>
      <w:r>
        <w:rPr>
          <w:rFonts w:hint="eastAsia" w:ascii="Calibri" w:hAnsi="Calibri"/>
          <w:b/>
          <w:bCs/>
          <w:color w:val="auto"/>
          <w:sz w:val="22"/>
          <w:szCs w:val="22"/>
          <w:highlight w:val="none"/>
        </w:rPr>
        <w:t>0分）</w:t>
      </w:r>
    </w:p>
    <w:p w14:paraId="09A495F3">
      <w:pPr>
        <w:pStyle w:val="12"/>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lang w:eastAsia="zh-CN"/>
        </w:rPr>
        <w:t>1.</w:t>
      </w:r>
      <w:r>
        <w:rPr>
          <w:rFonts w:hint="eastAsia" w:hAnsi="宋体" w:cs="宋体"/>
          <w:color w:val="auto"/>
          <w:sz w:val="22"/>
          <w:highlight w:val="none"/>
        </w:rPr>
        <w:t>以满足竞争性磋商文件要求且最终报价最低的有效供应商的价格为磋商基准价，其价格分为满分。其他供应商的价格分统一按照下列公式计算：</w:t>
      </w:r>
    </w:p>
    <w:p w14:paraId="4FDE68CC">
      <w:pPr>
        <w:pStyle w:val="12"/>
        <w:tabs>
          <w:tab w:val="left" w:pos="1069"/>
          <w:tab w:val="left" w:pos="2352"/>
        </w:tabs>
        <w:adjustRightInd w:val="0"/>
        <w:snapToGrid w:val="0"/>
        <w:spacing w:line="380" w:lineRule="exact"/>
        <w:ind w:left="443" w:leftChars="208" w:firstLine="28" w:firstLineChars="13"/>
        <w:rPr>
          <w:rFonts w:hAnsi="宋体" w:cs="宋体"/>
          <w:b/>
          <w:bCs/>
          <w:color w:val="auto"/>
          <w:sz w:val="22"/>
          <w:highlight w:val="none"/>
        </w:rPr>
      </w:pPr>
      <w:r>
        <w:rPr>
          <w:rFonts w:hint="eastAsia" w:hAnsi="宋体" w:cs="宋体"/>
          <w:b/>
          <w:bCs/>
          <w:color w:val="auto"/>
          <w:sz w:val="22"/>
          <w:highlight w:val="none"/>
        </w:rPr>
        <w:t>磋商报价得分=（磋商基准价/最终报价）×</w:t>
      </w:r>
      <w:r>
        <w:rPr>
          <w:rFonts w:hint="eastAsia" w:hAnsi="宋体" w:cs="宋体"/>
          <w:b/>
          <w:bCs/>
          <w:color w:val="auto"/>
          <w:sz w:val="22"/>
          <w:highlight w:val="none"/>
          <w:lang w:val="en-US" w:eastAsia="zh-CN"/>
        </w:rPr>
        <w:t>2</w:t>
      </w:r>
      <w:r>
        <w:rPr>
          <w:rFonts w:hint="eastAsia" w:hAnsi="宋体" w:cs="宋体"/>
          <w:b/>
          <w:bCs/>
          <w:color w:val="auto"/>
          <w:sz w:val="22"/>
          <w:highlight w:val="none"/>
        </w:rPr>
        <w:t>0%×100</w:t>
      </w:r>
    </w:p>
    <w:p w14:paraId="77BE8384">
      <w:pPr>
        <w:pStyle w:val="12"/>
        <w:tabs>
          <w:tab w:val="left" w:pos="1069"/>
          <w:tab w:val="left" w:pos="2352"/>
        </w:tabs>
        <w:adjustRightInd w:val="0"/>
        <w:snapToGrid w:val="0"/>
        <w:spacing w:line="38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2.</w:t>
      </w:r>
      <w:r>
        <w:rPr>
          <w:rFonts w:hint="eastAsia" w:ascii="宋体" w:hAnsi="宋体" w:eastAsia="宋体" w:cs="宋体"/>
          <w:color w:val="auto"/>
          <w:sz w:val="22"/>
          <w:highlight w:val="none"/>
        </w:rPr>
        <w:t>本</w:t>
      </w:r>
      <w:r>
        <w:rPr>
          <w:rFonts w:hint="eastAsia" w:ascii="宋体" w:hAnsi="宋体" w:eastAsia="宋体" w:cs="宋体"/>
          <w:color w:val="auto"/>
          <w:sz w:val="22"/>
          <w:highlight w:val="none"/>
          <w:lang w:val="en-US" w:eastAsia="zh-CN"/>
        </w:rPr>
        <w:t>项目专门面向中小企业采购，不再执行价格评审优惠的扶持政策。</w:t>
      </w:r>
    </w:p>
    <w:p w14:paraId="2461777E">
      <w:pPr>
        <w:pStyle w:val="12"/>
        <w:tabs>
          <w:tab w:val="left" w:pos="1069"/>
          <w:tab w:val="left" w:pos="2352"/>
        </w:tabs>
        <w:adjustRightInd w:val="0"/>
        <w:snapToGrid w:val="0"/>
        <w:spacing w:line="420" w:lineRule="exact"/>
        <w:ind w:left="335"/>
        <w:rPr>
          <w:rFonts w:hint="eastAsia" w:hAnsi="宋体" w:cs="宋体"/>
          <w:bCs/>
          <w:color w:val="auto"/>
          <w:sz w:val="22"/>
          <w:highlight w:val="none"/>
        </w:rPr>
      </w:pPr>
      <w:r>
        <w:rPr>
          <w:rFonts w:hint="eastAsia" w:hAnsi="宋体" w:cs="宋体"/>
          <w:color w:val="auto"/>
          <w:sz w:val="22"/>
          <w:highlight w:val="none"/>
        </w:rPr>
        <w:t>（二）商务技术评分</w:t>
      </w:r>
      <w:r>
        <w:rPr>
          <w:rFonts w:hint="eastAsia" w:hAnsi="宋体" w:cs="宋体"/>
          <w:bCs/>
          <w:color w:val="auto"/>
          <w:sz w:val="22"/>
          <w:highlight w:val="none"/>
        </w:rPr>
        <w:t>（</w:t>
      </w:r>
      <w:r>
        <w:rPr>
          <w:rFonts w:hint="eastAsia" w:hAnsi="宋体" w:cs="宋体"/>
          <w:b/>
          <w:color w:val="auto"/>
          <w:sz w:val="22"/>
          <w:highlight w:val="none"/>
        </w:rPr>
        <w:t>满分</w:t>
      </w:r>
      <w:r>
        <w:rPr>
          <w:rFonts w:hint="eastAsia" w:hAnsi="宋体" w:cs="宋体"/>
          <w:b/>
          <w:color w:val="auto"/>
          <w:sz w:val="22"/>
          <w:highlight w:val="none"/>
          <w:lang w:val="en-US" w:eastAsia="zh-CN"/>
        </w:rPr>
        <w:t>8</w:t>
      </w:r>
      <w:r>
        <w:rPr>
          <w:rFonts w:hint="eastAsia" w:hAnsi="宋体" w:cs="宋体"/>
          <w:b/>
          <w:color w:val="auto"/>
          <w:sz w:val="22"/>
          <w:highlight w:val="none"/>
        </w:rPr>
        <w:t>0分</w:t>
      </w:r>
      <w:r>
        <w:rPr>
          <w:rFonts w:hint="eastAsia" w:hAnsi="宋体" w:cs="宋体"/>
          <w:bCs/>
          <w:color w:val="auto"/>
          <w:sz w:val="22"/>
          <w:highlight w:val="none"/>
        </w:rPr>
        <w:t>）</w:t>
      </w:r>
    </w:p>
    <w:tbl>
      <w:tblPr>
        <w:tblStyle w:val="26"/>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35"/>
        <w:gridCol w:w="1442"/>
        <w:gridCol w:w="613"/>
        <w:gridCol w:w="6938"/>
      </w:tblGrid>
      <w:tr w14:paraId="6F3DC0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41" w:hRule="atLeast"/>
          <w:jc w:val="center"/>
        </w:trPr>
        <w:tc>
          <w:tcPr>
            <w:tcW w:w="329" w:type="pct"/>
            <w:tcBorders>
              <w:tl2br w:val="nil"/>
              <w:tr2bl w:val="nil"/>
            </w:tcBorders>
            <w:noWrap/>
            <w:vAlign w:val="center"/>
          </w:tcPr>
          <w:p w14:paraId="2E01814F">
            <w:pPr>
              <w:widowControl/>
              <w:spacing w:beforeAutospacing="0" w:afterAutospacing="0"/>
              <w:jc w:val="left"/>
              <w:rPr>
                <w:rFonts w:ascii="宋体" w:hAnsi="宋体" w:eastAsia="宋体" w:cs="Times New Roman"/>
                <w:b/>
                <w:bCs/>
                <w:color w:val="auto"/>
                <w:kern w:val="0"/>
                <w:sz w:val="22"/>
                <w:szCs w:val="22"/>
                <w:highlight w:val="none"/>
                <w:shd w:val="clear" w:color="auto" w:fill="FFFFFF"/>
                <w:lang w:val="en-US" w:eastAsia="zh-CN" w:bidi="ar-SA"/>
              </w:rPr>
            </w:pPr>
            <w:bookmarkStart w:id="116" w:name="_Toc18541_WPSOffice_Level2"/>
            <w:r>
              <w:rPr>
                <w:rFonts w:hint="eastAsia" w:ascii="宋体" w:hAnsi="宋体" w:eastAsia="宋体" w:cs="Times New Roman"/>
                <w:b/>
                <w:bCs/>
                <w:color w:val="auto"/>
                <w:kern w:val="0"/>
                <w:sz w:val="22"/>
                <w:szCs w:val="22"/>
                <w:highlight w:val="none"/>
                <w:shd w:val="clear" w:color="auto" w:fill="FFFFFF"/>
                <w:lang w:val="en-US" w:eastAsia="zh-CN" w:bidi="ar-SA"/>
              </w:rPr>
              <w:t>序号</w:t>
            </w:r>
          </w:p>
        </w:tc>
        <w:tc>
          <w:tcPr>
            <w:tcW w:w="748" w:type="pct"/>
            <w:tcBorders>
              <w:tl2br w:val="nil"/>
              <w:tr2bl w:val="nil"/>
            </w:tcBorders>
            <w:noWrap/>
            <w:vAlign w:val="center"/>
          </w:tcPr>
          <w:p w14:paraId="3E982A73">
            <w:pPr>
              <w:widowControl/>
              <w:spacing w:beforeAutospacing="0" w:afterAutospacing="0"/>
              <w:jc w:val="left"/>
              <w:rPr>
                <w:rFonts w:hint="eastAsia" w:ascii="宋体" w:hAnsi="宋体" w:eastAsia="宋体" w:cs="Times New Roman"/>
                <w:b/>
                <w:bCs/>
                <w:color w:val="auto"/>
                <w:kern w:val="0"/>
                <w:sz w:val="22"/>
                <w:szCs w:val="22"/>
                <w:highlight w:val="none"/>
                <w:shd w:val="clear" w:color="auto" w:fill="FFFFFF"/>
                <w:lang w:eastAsia="zh-CN" w:bidi="ar-SA"/>
              </w:rPr>
            </w:pPr>
            <w:r>
              <w:rPr>
                <w:rFonts w:hint="eastAsia" w:ascii="宋体" w:hAnsi="宋体" w:eastAsia="宋体" w:cs="Times New Roman"/>
                <w:b/>
                <w:bCs/>
                <w:color w:val="auto"/>
                <w:kern w:val="0"/>
                <w:sz w:val="22"/>
                <w:szCs w:val="22"/>
                <w:highlight w:val="none"/>
                <w:shd w:val="clear" w:color="auto" w:fill="FFFFFF"/>
                <w:lang w:eastAsia="zh-CN" w:bidi="ar-SA"/>
              </w:rPr>
              <w:t>评分项目</w:t>
            </w:r>
          </w:p>
        </w:tc>
        <w:tc>
          <w:tcPr>
            <w:tcW w:w="318" w:type="pct"/>
            <w:tcBorders>
              <w:tl2br w:val="nil"/>
              <w:tr2bl w:val="nil"/>
            </w:tcBorders>
            <w:noWrap/>
            <w:vAlign w:val="center"/>
          </w:tcPr>
          <w:p w14:paraId="2CC06D42">
            <w:pPr>
              <w:widowControl/>
              <w:spacing w:beforeAutospacing="0" w:afterAutospacing="0"/>
              <w:jc w:val="center"/>
              <w:rPr>
                <w:rFonts w:hint="eastAsia" w:ascii="宋体" w:hAnsi="宋体" w:eastAsia="宋体" w:cs="Times New Roman"/>
                <w:b/>
                <w:bCs/>
                <w:color w:val="auto"/>
                <w:kern w:val="0"/>
                <w:sz w:val="22"/>
                <w:szCs w:val="22"/>
                <w:highlight w:val="none"/>
                <w:shd w:val="clear" w:color="auto" w:fill="FFFFFF"/>
                <w:lang w:eastAsia="zh-CN" w:bidi="ar-SA"/>
              </w:rPr>
            </w:pPr>
            <w:r>
              <w:rPr>
                <w:rFonts w:hint="eastAsia" w:ascii="宋体" w:hAnsi="宋体" w:eastAsia="宋体" w:cs="Times New Roman"/>
                <w:b/>
                <w:bCs/>
                <w:color w:val="auto"/>
                <w:kern w:val="0"/>
                <w:sz w:val="22"/>
                <w:szCs w:val="22"/>
                <w:highlight w:val="none"/>
                <w:shd w:val="clear" w:color="auto" w:fill="FFFFFF"/>
                <w:lang w:eastAsia="zh-CN" w:bidi="ar-SA"/>
              </w:rPr>
              <w:t>分值</w:t>
            </w:r>
          </w:p>
        </w:tc>
        <w:tc>
          <w:tcPr>
            <w:tcW w:w="3603" w:type="pct"/>
            <w:tcBorders>
              <w:tl2br w:val="nil"/>
              <w:tr2bl w:val="nil"/>
            </w:tcBorders>
            <w:noWrap/>
            <w:vAlign w:val="center"/>
          </w:tcPr>
          <w:p w14:paraId="5353AC9C">
            <w:pPr>
              <w:widowControl/>
              <w:spacing w:beforeAutospacing="0" w:afterAutospacing="0"/>
              <w:jc w:val="center"/>
              <w:rPr>
                <w:rFonts w:hint="eastAsia" w:ascii="宋体" w:hAnsi="宋体" w:eastAsia="宋体" w:cs="Times New Roman"/>
                <w:b/>
                <w:bCs/>
                <w:color w:val="auto"/>
                <w:kern w:val="0"/>
                <w:sz w:val="22"/>
                <w:szCs w:val="22"/>
                <w:highlight w:val="none"/>
                <w:shd w:val="clear" w:color="auto" w:fill="FFFFFF"/>
                <w:lang w:eastAsia="zh-CN" w:bidi="ar-SA"/>
              </w:rPr>
            </w:pPr>
            <w:r>
              <w:rPr>
                <w:rFonts w:hint="eastAsia" w:ascii="宋体" w:hAnsi="宋体" w:eastAsia="宋体" w:cs="Times New Roman"/>
                <w:b/>
                <w:bCs/>
                <w:color w:val="auto"/>
                <w:kern w:val="0"/>
                <w:sz w:val="22"/>
                <w:szCs w:val="22"/>
                <w:highlight w:val="none"/>
                <w:shd w:val="clear" w:color="auto" w:fill="FFFFFF"/>
                <w:lang w:eastAsia="zh-CN" w:bidi="ar-SA"/>
              </w:rPr>
              <w:t>评分标准</w:t>
            </w:r>
          </w:p>
        </w:tc>
      </w:tr>
      <w:tr w14:paraId="546E29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41" w:hRule="atLeast"/>
          <w:jc w:val="center"/>
        </w:trPr>
        <w:tc>
          <w:tcPr>
            <w:tcW w:w="329" w:type="pct"/>
            <w:tcBorders>
              <w:tl2br w:val="nil"/>
              <w:tr2bl w:val="nil"/>
            </w:tcBorders>
            <w:noWrap/>
            <w:vAlign w:val="center"/>
          </w:tcPr>
          <w:p w14:paraId="2C8DE1B0">
            <w:pPr>
              <w:widowControl/>
              <w:spacing w:beforeAutospacing="0" w:afterAutospacing="0"/>
              <w:jc w:val="left"/>
              <w:rPr>
                <w:rFonts w:hint="eastAsia" w:ascii="宋体" w:hAnsi="宋体" w:eastAsia="宋体" w:cs="Times New Roman"/>
                <w:color w:val="auto"/>
                <w:kern w:val="0"/>
                <w:sz w:val="22"/>
                <w:szCs w:val="22"/>
                <w:highlight w:val="none"/>
                <w:shd w:val="clear" w:color="auto" w:fill="FFFFFF"/>
                <w:lang w:val="en-US" w:eastAsia="zh-CN" w:bidi="ar-SA"/>
              </w:rPr>
            </w:pPr>
          </w:p>
        </w:tc>
        <w:tc>
          <w:tcPr>
            <w:tcW w:w="4670" w:type="pct"/>
            <w:gridSpan w:val="3"/>
            <w:tcBorders>
              <w:tl2br w:val="nil"/>
              <w:tr2bl w:val="nil"/>
            </w:tcBorders>
            <w:noWrap/>
            <w:vAlign w:val="center"/>
          </w:tcPr>
          <w:p w14:paraId="41C45A0D">
            <w:pPr>
              <w:widowControl/>
              <w:spacing w:beforeAutospacing="0" w:afterAutospacing="0"/>
              <w:jc w:val="left"/>
              <w:rPr>
                <w:rFonts w:hint="eastAsia" w:ascii="宋体" w:hAnsi="宋体" w:eastAsia="宋体" w:cs="Times New Roman"/>
                <w:color w:val="auto"/>
                <w:kern w:val="0"/>
                <w:sz w:val="22"/>
                <w:szCs w:val="22"/>
                <w:highlight w:val="none"/>
                <w:shd w:val="clear" w:color="auto" w:fill="FFFFFF"/>
                <w:lang w:eastAsia="zh-CN" w:bidi="ar-SA"/>
              </w:rPr>
            </w:pPr>
            <w:r>
              <w:rPr>
                <w:rFonts w:hint="eastAsia" w:ascii="宋体" w:hAnsi="宋体" w:eastAsia="宋体" w:cs="Times New Roman"/>
                <w:color w:val="auto"/>
                <w:kern w:val="0"/>
                <w:sz w:val="22"/>
                <w:szCs w:val="22"/>
                <w:highlight w:val="none"/>
                <w:shd w:val="clear" w:color="auto" w:fill="FFFFFF"/>
                <w:lang w:val="en-US" w:eastAsia="zh-CN" w:bidi="ar-SA"/>
              </w:rPr>
              <w:t>商务部分（2</w:t>
            </w:r>
            <w:r>
              <w:rPr>
                <w:rFonts w:hint="eastAsia" w:ascii="宋体" w:hAnsi="宋体" w:cs="Times New Roman"/>
                <w:color w:val="auto"/>
                <w:kern w:val="0"/>
                <w:sz w:val="22"/>
                <w:szCs w:val="22"/>
                <w:highlight w:val="none"/>
                <w:shd w:val="clear" w:color="auto" w:fill="FFFFFF"/>
                <w:lang w:val="en-US" w:eastAsia="zh-CN" w:bidi="ar-SA"/>
              </w:rPr>
              <w:t>1</w:t>
            </w:r>
            <w:r>
              <w:rPr>
                <w:rFonts w:hint="eastAsia" w:ascii="宋体" w:hAnsi="宋体" w:eastAsia="宋体" w:cs="Times New Roman"/>
                <w:color w:val="auto"/>
                <w:kern w:val="0"/>
                <w:sz w:val="22"/>
                <w:szCs w:val="22"/>
                <w:highlight w:val="none"/>
                <w:shd w:val="clear" w:color="auto" w:fill="FFFFFF"/>
                <w:lang w:val="en-US" w:eastAsia="zh-CN" w:bidi="ar-SA"/>
              </w:rPr>
              <w:t>分）</w:t>
            </w:r>
          </w:p>
        </w:tc>
      </w:tr>
      <w:tr w14:paraId="52626E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41" w:hRule="atLeast"/>
          <w:jc w:val="center"/>
        </w:trPr>
        <w:tc>
          <w:tcPr>
            <w:tcW w:w="329" w:type="pct"/>
            <w:tcBorders>
              <w:tl2br w:val="nil"/>
              <w:tr2bl w:val="nil"/>
            </w:tcBorders>
            <w:shd w:val="clear" w:color="auto" w:fill="auto"/>
            <w:noWrap/>
            <w:vAlign w:val="center"/>
          </w:tcPr>
          <w:p w14:paraId="47056FED">
            <w:pPr>
              <w:widowControl/>
              <w:spacing w:beforeAutospacing="0" w:afterAutospacing="0"/>
              <w:jc w:val="center"/>
              <w:rPr>
                <w:rFonts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Times New Roman"/>
                <w:color w:val="auto"/>
                <w:kern w:val="0"/>
                <w:sz w:val="22"/>
                <w:szCs w:val="22"/>
                <w:highlight w:val="none"/>
                <w:shd w:val="clear" w:color="auto" w:fill="FFFFFF"/>
                <w:lang w:val="en-US" w:eastAsia="zh-CN" w:bidi="ar-SA"/>
              </w:rPr>
              <w:t>1</w:t>
            </w:r>
          </w:p>
        </w:tc>
        <w:tc>
          <w:tcPr>
            <w:tcW w:w="748" w:type="pct"/>
            <w:tcBorders>
              <w:tl2br w:val="nil"/>
              <w:tr2bl w:val="nil"/>
            </w:tcBorders>
            <w:shd w:val="clear" w:color="auto" w:fill="auto"/>
            <w:noWrap/>
            <w:vAlign w:val="center"/>
          </w:tcPr>
          <w:p w14:paraId="41C88E31">
            <w:pPr>
              <w:widowControl/>
              <w:spacing w:beforeAutospacing="0" w:afterAutospacing="0"/>
              <w:jc w:val="center"/>
              <w:rPr>
                <w:rFonts w:hint="eastAsia"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Times New Roman"/>
                <w:color w:val="auto"/>
                <w:kern w:val="0"/>
                <w:sz w:val="22"/>
                <w:szCs w:val="22"/>
                <w:highlight w:val="none"/>
                <w:shd w:val="clear" w:color="auto" w:fill="FFFFFF"/>
                <w:lang w:val="en-US" w:eastAsia="zh-CN" w:bidi="ar-SA"/>
              </w:rPr>
              <w:t>类似业绩</w:t>
            </w:r>
          </w:p>
        </w:tc>
        <w:tc>
          <w:tcPr>
            <w:tcW w:w="318" w:type="pct"/>
            <w:tcBorders>
              <w:tl2br w:val="nil"/>
              <w:tr2bl w:val="nil"/>
            </w:tcBorders>
            <w:shd w:val="clear" w:color="auto" w:fill="auto"/>
            <w:noWrap/>
            <w:vAlign w:val="center"/>
          </w:tcPr>
          <w:p w14:paraId="20C1DE34">
            <w:pPr>
              <w:widowControl/>
              <w:spacing w:beforeAutospacing="0" w:afterAutospacing="0"/>
              <w:jc w:val="center"/>
              <w:rPr>
                <w:rFonts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Times New Roman" w:cs="Times New Roman"/>
                <w:color w:val="auto"/>
                <w:kern w:val="0"/>
                <w:sz w:val="22"/>
                <w:szCs w:val="22"/>
                <w:highlight w:val="none"/>
                <w:shd w:val="clear" w:color="auto" w:fill="FFFFFF"/>
                <w:lang w:val="en-US" w:eastAsia="zh-CN" w:bidi="ar-SA"/>
              </w:rPr>
              <w:t>2</w:t>
            </w:r>
          </w:p>
        </w:tc>
        <w:tc>
          <w:tcPr>
            <w:tcW w:w="3603" w:type="pct"/>
            <w:tcBorders>
              <w:tl2br w:val="nil"/>
              <w:tr2bl w:val="nil"/>
            </w:tcBorders>
            <w:shd w:val="clear" w:color="auto" w:fill="auto"/>
            <w:noWrap/>
            <w:vAlign w:val="center"/>
          </w:tcPr>
          <w:p w14:paraId="119E9AE3">
            <w:pPr>
              <w:rPr>
                <w:rFonts w:ascii="宋体" w:hAnsi="宋体" w:eastAsia="宋体" w:cs="宋体"/>
                <w:color w:val="auto"/>
                <w:sz w:val="22"/>
                <w:szCs w:val="22"/>
                <w:highlight w:val="none"/>
              </w:rPr>
            </w:pPr>
            <w:r>
              <w:rPr>
                <w:rFonts w:hint="eastAsia" w:ascii="宋体" w:hAnsi="宋体" w:cs="宋体"/>
                <w:color w:val="auto"/>
                <w:sz w:val="22"/>
                <w:szCs w:val="22"/>
                <w:highlight w:val="none"/>
              </w:rPr>
              <w:t>投标人每提供一项</w:t>
            </w:r>
            <w:r>
              <w:rPr>
                <w:rFonts w:hint="eastAsia" w:ascii="宋体" w:hAnsi="宋体" w:cs="宋体"/>
                <w:color w:val="auto"/>
                <w:sz w:val="22"/>
                <w:szCs w:val="22"/>
                <w:highlight w:val="none"/>
                <w:lang w:eastAsia="zh-CN"/>
              </w:rPr>
              <w:t>类似</w:t>
            </w:r>
            <w:r>
              <w:rPr>
                <w:rFonts w:hint="eastAsia" w:ascii="宋体" w:hAnsi="宋体" w:cs="宋体"/>
                <w:color w:val="auto"/>
                <w:sz w:val="22"/>
                <w:szCs w:val="22"/>
                <w:highlight w:val="none"/>
              </w:rPr>
              <w:t>环卫保洁及垃圾分类一体化服务的</w:t>
            </w:r>
            <w:r>
              <w:rPr>
                <w:rFonts w:hint="eastAsia"/>
                <w:color w:val="auto"/>
                <w:sz w:val="22"/>
                <w:szCs w:val="22"/>
                <w:highlight w:val="none"/>
                <w:lang w:eastAsia="zh-CN"/>
              </w:rPr>
              <w:t>有效</w:t>
            </w:r>
            <w:r>
              <w:rPr>
                <w:rFonts w:hint="eastAsia"/>
                <w:color w:val="auto"/>
                <w:sz w:val="22"/>
                <w:szCs w:val="22"/>
                <w:highlight w:val="none"/>
              </w:rPr>
              <w:t>业绩</w:t>
            </w:r>
            <w:r>
              <w:rPr>
                <w:rFonts w:hint="eastAsia" w:ascii="宋体" w:hAnsi="宋体" w:cs="宋体"/>
                <w:color w:val="auto"/>
                <w:sz w:val="22"/>
                <w:szCs w:val="22"/>
                <w:highlight w:val="none"/>
              </w:rPr>
              <w:t>的得1分，最高得</w:t>
            </w:r>
            <w:r>
              <w:rPr>
                <w:rFonts w:ascii="宋体" w:hAnsi="宋体" w:cs="宋体"/>
                <w:color w:val="auto"/>
                <w:sz w:val="22"/>
                <w:szCs w:val="22"/>
                <w:highlight w:val="none"/>
              </w:rPr>
              <w:t>2</w:t>
            </w:r>
            <w:r>
              <w:rPr>
                <w:rFonts w:hint="eastAsia" w:ascii="宋体" w:hAnsi="宋体" w:cs="宋体"/>
                <w:color w:val="auto"/>
                <w:sz w:val="22"/>
                <w:szCs w:val="22"/>
                <w:highlight w:val="none"/>
              </w:rPr>
              <w:t>分</w:t>
            </w:r>
            <w:r>
              <w:rPr>
                <w:rFonts w:hint="eastAsia" w:ascii="宋体" w:hAnsi="宋体" w:eastAsia="宋体" w:cs="宋体"/>
                <w:color w:val="auto"/>
                <w:sz w:val="22"/>
                <w:szCs w:val="22"/>
                <w:highlight w:val="none"/>
              </w:rPr>
              <w:t>。</w:t>
            </w:r>
          </w:p>
          <w:p w14:paraId="26C375C1">
            <w:pPr>
              <w:widowControl/>
              <w:spacing w:beforeAutospacing="0" w:afterAutospacing="0"/>
              <w:jc w:val="left"/>
              <w:rPr>
                <w:rFonts w:hint="eastAsia"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Times New Roman"/>
                <w:b/>
                <w:bCs/>
                <w:color w:val="auto"/>
                <w:kern w:val="0"/>
                <w:sz w:val="22"/>
                <w:szCs w:val="22"/>
                <w:highlight w:val="none"/>
                <w:shd w:val="clear" w:color="auto" w:fill="FFFFFF"/>
                <w:lang w:eastAsia="zh-CN" w:bidi="ar-SA"/>
              </w:rPr>
              <w:t>证明材料：提供合同</w:t>
            </w:r>
            <w:r>
              <w:rPr>
                <w:rFonts w:hint="eastAsia" w:ascii="宋体" w:hAnsi="宋体" w:cs="Times New Roman"/>
                <w:b/>
                <w:bCs/>
                <w:color w:val="auto"/>
                <w:kern w:val="0"/>
                <w:sz w:val="22"/>
                <w:szCs w:val="22"/>
                <w:highlight w:val="none"/>
                <w:shd w:val="clear" w:color="auto" w:fill="FFFFFF"/>
                <w:lang w:val="en-US" w:eastAsia="zh-CN" w:bidi="ar-SA"/>
              </w:rPr>
              <w:t>和中标通知书</w:t>
            </w:r>
            <w:r>
              <w:rPr>
                <w:rFonts w:hint="eastAsia" w:ascii="宋体" w:hAnsi="宋体" w:eastAsia="宋体" w:cs="宋体"/>
                <w:b/>
                <w:bCs/>
                <w:color w:val="auto"/>
                <w:sz w:val="22"/>
                <w:szCs w:val="22"/>
                <w:highlight w:val="none"/>
              </w:rPr>
              <w:t>扫描件加盖公章</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否则不得分。</w:t>
            </w:r>
          </w:p>
        </w:tc>
      </w:tr>
      <w:tr w14:paraId="612255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41" w:hRule="atLeast"/>
          <w:jc w:val="center"/>
        </w:trPr>
        <w:tc>
          <w:tcPr>
            <w:tcW w:w="329" w:type="pct"/>
            <w:tcBorders>
              <w:tl2br w:val="nil"/>
              <w:tr2bl w:val="nil"/>
            </w:tcBorders>
            <w:shd w:val="clear" w:color="auto" w:fill="auto"/>
            <w:noWrap/>
            <w:vAlign w:val="center"/>
          </w:tcPr>
          <w:p w14:paraId="3833FD57">
            <w:pPr>
              <w:widowControl/>
              <w:spacing w:beforeAutospacing="0" w:afterAutospacing="0"/>
              <w:jc w:val="center"/>
              <w:rPr>
                <w:rFonts w:hint="default" w:ascii="宋体" w:hAnsi="宋体" w:eastAsia="宋体" w:cs="Times New Roman"/>
                <w:color w:val="auto"/>
                <w:kern w:val="0"/>
                <w:sz w:val="22"/>
                <w:szCs w:val="22"/>
                <w:highlight w:val="none"/>
                <w:shd w:val="clear" w:color="auto" w:fill="FFFFFF"/>
                <w:lang w:val="en-US" w:eastAsia="zh-CN" w:bidi="ar-SA"/>
              </w:rPr>
            </w:pPr>
            <w:r>
              <w:rPr>
                <w:rFonts w:hint="eastAsia" w:ascii="宋体" w:hAnsi="宋体" w:cs="Times New Roman"/>
                <w:color w:val="auto"/>
                <w:kern w:val="0"/>
                <w:sz w:val="22"/>
                <w:szCs w:val="22"/>
                <w:highlight w:val="none"/>
                <w:shd w:val="clear" w:color="auto" w:fill="FFFFFF"/>
                <w:lang w:val="en-US" w:eastAsia="zh-CN" w:bidi="ar-SA"/>
              </w:rPr>
              <w:t>2</w:t>
            </w:r>
          </w:p>
        </w:tc>
        <w:tc>
          <w:tcPr>
            <w:tcW w:w="748" w:type="pct"/>
            <w:tcBorders>
              <w:tl2br w:val="nil"/>
              <w:tr2bl w:val="nil"/>
            </w:tcBorders>
            <w:shd w:val="clear" w:color="auto" w:fill="auto"/>
            <w:noWrap/>
            <w:vAlign w:val="center"/>
          </w:tcPr>
          <w:p w14:paraId="3C56F0CD">
            <w:pPr>
              <w:widowControl/>
              <w:spacing w:beforeAutospacing="0" w:afterAutospacing="0"/>
              <w:jc w:val="center"/>
              <w:rPr>
                <w:rFonts w:hint="eastAsia"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宋体"/>
                <w:color w:val="auto"/>
                <w:sz w:val="22"/>
                <w:szCs w:val="22"/>
                <w:highlight w:val="none"/>
              </w:rPr>
              <w:t>供应商相关证书情况</w:t>
            </w:r>
          </w:p>
        </w:tc>
        <w:tc>
          <w:tcPr>
            <w:tcW w:w="318" w:type="pct"/>
            <w:tcBorders>
              <w:tl2br w:val="nil"/>
              <w:tr2bl w:val="nil"/>
            </w:tcBorders>
            <w:shd w:val="clear" w:color="auto" w:fill="auto"/>
            <w:noWrap/>
            <w:vAlign w:val="center"/>
          </w:tcPr>
          <w:p w14:paraId="7E9CB9E6">
            <w:pPr>
              <w:widowControl/>
              <w:spacing w:beforeAutospacing="0" w:afterAutospacing="0"/>
              <w:jc w:val="center"/>
              <w:rPr>
                <w:rFonts w:hint="default" w:ascii="宋体" w:hAnsi="宋体" w:eastAsia="Times New Roman" w:cs="Times New Roman"/>
                <w:color w:val="auto"/>
                <w:kern w:val="0"/>
                <w:sz w:val="22"/>
                <w:szCs w:val="22"/>
                <w:highlight w:val="none"/>
                <w:shd w:val="clear" w:color="auto" w:fill="FFFFFF"/>
                <w:lang w:val="en-US" w:eastAsia="zh-CN" w:bidi="ar-SA"/>
              </w:rPr>
            </w:pPr>
            <w:r>
              <w:rPr>
                <w:rFonts w:hint="eastAsia" w:ascii="宋体" w:hAnsi="宋体" w:eastAsia="Times New Roman" w:cs="Times New Roman"/>
                <w:color w:val="auto"/>
                <w:kern w:val="0"/>
                <w:sz w:val="22"/>
                <w:szCs w:val="22"/>
                <w:highlight w:val="none"/>
                <w:shd w:val="clear" w:color="auto" w:fill="FFFFFF"/>
                <w:lang w:val="en-US" w:eastAsia="zh-CN" w:bidi="ar-SA"/>
              </w:rPr>
              <w:t>5</w:t>
            </w:r>
          </w:p>
        </w:tc>
        <w:tc>
          <w:tcPr>
            <w:tcW w:w="3603" w:type="pct"/>
            <w:tcBorders>
              <w:tl2br w:val="nil"/>
              <w:tr2bl w:val="nil"/>
            </w:tcBorders>
            <w:shd w:val="clear" w:color="auto" w:fill="auto"/>
            <w:noWrap/>
            <w:vAlign w:val="center"/>
          </w:tcPr>
          <w:p w14:paraId="40585FD7">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投标人具有环卫保洁行业质量</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体系认证证书、职业健康</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体系认证证书、环境</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体系认证证书，</w:t>
            </w:r>
            <w:r>
              <w:rPr>
                <w:rFonts w:hint="eastAsia" w:ascii="宋体" w:hAnsi="宋体" w:eastAsia="宋体" w:cs="宋体"/>
                <w:color w:val="auto"/>
                <w:sz w:val="22"/>
                <w:szCs w:val="22"/>
                <w:highlight w:val="none"/>
                <w:lang w:val="en-US" w:eastAsia="zh-CN"/>
              </w:rPr>
              <w:t>能源管理体系认证证书；诚信管理体系认证证书；全部</w:t>
            </w:r>
            <w:r>
              <w:rPr>
                <w:rFonts w:hint="eastAsia" w:ascii="宋体" w:hAnsi="宋体" w:eastAsia="宋体" w:cs="宋体"/>
                <w:color w:val="auto"/>
                <w:sz w:val="22"/>
                <w:szCs w:val="22"/>
                <w:highlight w:val="none"/>
              </w:rPr>
              <w:t>提供</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rPr>
              <w:t>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每缺一项扣</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w:t>
            </w:r>
          </w:p>
          <w:p w14:paraId="35A65293">
            <w:pPr>
              <w:widowControl/>
              <w:spacing w:beforeAutospacing="0" w:afterAutospacing="0"/>
              <w:jc w:val="left"/>
              <w:rPr>
                <w:rFonts w:hint="eastAsia" w:ascii="宋体" w:hAnsi="宋体" w:eastAsia="宋体" w:cs="Times New Roman"/>
                <w:color w:val="auto"/>
                <w:kern w:val="0"/>
                <w:sz w:val="22"/>
                <w:szCs w:val="22"/>
                <w:highlight w:val="none"/>
                <w:shd w:val="clear" w:color="auto" w:fill="FFFFFF"/>
                <w:lang w:eastAsia="zh-CN" w:bidi="ar-SA"/>
              </w:rPr>
            </w:pPr>
            <w:r>
              <w:rPr>
                <w:rFonts w:hint="eastAsia" w:ascii="宋体" w:hAnsi="宋体" w:eastAsia="宋体" w:cs="宋体"/>
                <w:b/>
                <w:bCs/>
                <w:color w:val="auto"/>
                <w:sz w:val="22"/>
                <w:szCs w:val="22"/>
                <w:highlight w:val="none"/>
              </w:rPr>
              <w:t>注：以上证书</w:t>
            </w:r>
            <w:r>
              <w:rPr>
                <w:rFonts w:hint="eastAsia" w:ascii="宋体" w:hAnsi="宋体" w:eastAsia="宋体" w:cs="宋体"/>
                <w:b/>
                <w:bCs/>
                <w:color w:val="auto"/>
                <w:sz w:val="22"/>
                <w:szCs w:val="22"/>
                <w:highlight w:val="none"/>
                <w:lang w:val="en-US" w:eastAsia="zh-CN"/>
              </w:rPr>
              <w:t>认证范围须包含公厕保洁和城市生活垃圾经营性环境服务（经营、收集、运输）</w:t>
            </w:r>
            <w:r>
              <w:rPr>
                <w:rFonts w:hint="eastAsia" w:ascii="宋体" w:hAnsi="宋体" w:cs="宋体"/>
                <w:b/>
                <w:bCs/>
                <w:color w:val="auto"/>
                <w:sz w:val="22"/>
                <w:szCs w:val="22"/>
                <w:highlight w:val="none"/>
                <w:lang w:val="en-US" w:eastAsia="zh-CN"/>
              </w:rPr>
              <w:t>且在</w:t>
            </w:r>
            <w:r>
              <w:rPr>
                <w:rFonts w:hint="eastAsia" w:ascii="宋体" w:hAnsi="宋体" w:eastAsia="宋体" w:cs="宋体"/>
                <w:b/>
                <w:bCs/>
                <w:color w:val="auto"/>
                <w:sz w:val="22"/>
                <w:szCs w:val="22"/>
                <w:highlight w:val="none"/>
              </w:rPr>
              <w:t>中国国家认证认可监督管理委员会官网（http://www.cnca.gov.cn）查询截图为准，同时提供有效期内的证书扫描件加盖公章，否则不得分。</w:t>
            </w:r>
          </w:p>
        </w:tc>
      </w:tr>
      <w:tr w14:paraId="50AEF8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48" w:hRule="atLeast"/>
          <w:jc w:val="center"/>
        </w:trPr>
        <w:tc>
          <w:tcPr>
            <w:tcW w:w="329" w:type="pct"/>
            <w:tcBorders>
              <w:tl2br w:val="nil"/>
              <w:tr2bl w:val="nil"/>
            </w:tcBorders>
            <w:noWrap/>
            <w:vAlign w:val="center"/>
          </w:tcPr>
          <w:p w14:paraId="6F6F2B7B">
            <w:pPr>
              <w:widowControl/>
              <w:spacing w:beforeAutospacing="0" w:afterAutospacing="0"/>
              <w:jc w:val="center"/>
              <w:rPr>
                <w:rFonts w:ascii="宋体" w:hAnsi="宋体" w:eastAsia="宋体" w:cs="Times New Roman"/>
                <w:color w:val="auto"/>
                <w:kern w:val="0"/>
                <w:sz w:val="22"/>
                <w:szCs w:val="22"/>
                <w:highlight w:val="none"/>
                <w:shd w:val="clear" w:color="auto" w:fill="FFFFFF"/>
                <w:lang w:val="en-US" w:eastAsia="zh-CN" w:bidi="ar-SA"/>
              </w:rPr>
            </w:pPr>
            <w:r>
              <w:rPr>
                <w:rFonts w:hint="eastAsia" w:ascii="宋体" w:hAnsi="宋体" w:cs="Times New Roman"/>
                <w:color w:val="auto"/>
                <w:kern w:val="0"/>
                <w:sz w:val="22"/>
                <w:szCs w:val="22"/>
                <w:highlight w:val="none"/>
                <w:shd w:val="clear" w:color="auto" w:fill="FFFFFF"/>
                <w:lang w:val="en-US" w:eastAsia="zh-CN" w:bidi="ar-SA"/>
              </w:rPr>
              <w:t>3</w:t>
            </w:r>
          </w:p>
        </w:tc>
        <w:tc>
          <w:tcPr>
            <w:tcW w:w="748" w:type="pct"/>
            <w:tcBorders>
              <w:tl2br w:val="nil"/>
              <w:tr2bl w:val="nil"/>
            </w:tcBorders>
            <w:noWrap/>
            <w:vAlign w:val="center"/>
          </w:tcPr>
          <w:p w14:paraId="7E158321">
            <w:pPr>
              <w:widowControl/>
              <w:spacing w:beforeAutospacing="0" w:afterAutospacing="0"/>
              <w:jc w:val="center"/>
              <w:rPr>
                <w:rFonts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Times New Roman"/>
                <w:color w:val="auto"/>
                <w:kern w:val="0"/>
                <w:sz w:val="22"/>
                <w:szCs w:val="22"/>
                <w:highlight w:val="none"/>
                <w:shd w:val="clear" w:color="auto" w:fill="FFFFFF"/>
                <w:lang w:val="en-US" w:eastAsia="zh-CN" w:bidi="ar-SA"/>
              </w:rPr>
              <w:t>项目负责人资历</w:t>
            </w:r>
          </w:p>
        </w:tc>
        <w:tc>
          <w:tcPr>
            <w:tcW w:w="318" w:type="pct"/>
            <w:tcBorders>
              <w:tl2br w:val="nil"/>
              <w:tr2bl w:val="nil"/>
            </w:tcBorders>
            <w:noWrap/>
            <w:vAlign w:val="center"/>
          </w:tcPr>
          <w:p w14:paraId="4A3E566D">
            <w:pPr>
              <w:widowControl/>
              <w:spacing w:beforeAutospacing="0" w:afterAutospacing="0"/>
              <w:jc w:val="center"/>
              <w:rPr>
                <w:rFonts w:ascii="宋体" w:hAnsi="宋体" w:eastAsia="宋体" w:cs="Times New Roman"/>
                <w:color w:val="auto"/>
                <w:kern w:val="0"/>
                <w:sz w:val="22"/>
                <w:szCs w:val="22"/>
                <w:highlight w:val="none"/>
                <w:shd w:val="clear" w:color="auto" w:fill="FFFFFF"/>
                <w:lang w:val="en-US" w:eastAsia="zh-CN" w:bidi="ar-SA"/>
              </w:rPr>
            </w:pPr>
            <w:r>
              <w:rPr>
                <w:rFonts w:hint="eastAsia" w:ascii="宋体" w:hAnsi="宋体" w:cs="Times New Roman"/>
                <w:color w:val="auto"/>
                <w:kern w:val="0"/>
                <w:sz w:val="22"/>
                <w:szCs w:val="22"/>
                <w:highlight w:val="none"/>
                <w:shd w:val="clear" w:color="auto" w:fill="FFFFFF"/>
                <w:lang w:val="en-US" w:eastAsia="zh-CN" w:bidi="ar-SA"/>
              </w:rPr>
              <w:t>5</w:t>
            </w:r>
          </w:p>
        </w:tc>
        <w:tc>
          <w:tcPr>
            <w:tcW w:w="3603" w:type="pct"/>
            <w:tcBorders>
              <w:tl2br w:val="nil"/>
              <w:tr2bl w:val="nil"/>
            </w:tcBorders>
            <w:noWrap/>
            <w:vAlign w:val="center"/>
          </w:tcPr>
          <w:p w14:paraId="2BF59880">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pacing w:val="-3"/>
                <w:sz w:val="22"/>
                <w:szCs w:val="22"/>
                <w:highlight w:val="none"/>
                <w:lang w:val="en-US" w:eastAsia="zh-CN"/>
              </w:rPr>
            </w:pPr>
            <w:r>
              <w:rPr>
                <w:rFonts w:hint="eastAsia" w:ascii="宋体" w:hAnsi="宋体" w:cs="宋体"/>
                <w:b w:val="0"/>
                <w:color w:val="auto"/>
                <w:sz w:val="22"/>
                <w:szCs w:val="22"/>
                <w:highlight w:val="none"/>
                <w:lang w:val="en-US" w:eastAsia="zh-CN"/>
              </w:rPr>
              <w:t>1.</w:t>
            </w:r>
            <w:r>
              <w:rPr>
                <w:rFonts w:hint="eastAsia" w:ascii="宋体" w:hAnsi="宋体" w:eastAsia="宋体" w:cs="宋体"/>
                <w:b w:val="0"/>
                <w:color w:val="auto"/>
                <w:sz w:val="22"/>
                <w:szCs w:val="22"/>
                <w:highlight w:val="none"/>
              </w:rPr>
              <w:t>拟派项目负责人</w:t>
            </w:r>
            <w:r>
              <w:rPr>
                <w:rFonts w:hint="eastAsia" w:ascii="宋体" w:hAnsi="宋体" w:eastAsia="宋体" w:cs="宋体"/>
                <w:b w:val="0"/>
                <w:color w:val="auto"/>
                <w:sz w:val="22"/>
                <w:szCs w:val="22"/>
                <w:highlight w:val="none"/>
                <w:lang w:val="en-US" w:eastAsia="zh-CN"/>
              </w:rPr>
              <w:t>年龄不超过50</w:t>
            </w:r>
            <w:r>
              <w:rPr>
                <w:rFonts w:hint="eastAsia" w:ascii="宋体" w:hAnsi="宋体" w:cs="宋体"/>
                <w:b w:val="0"/>
                <w:color w:val="auto"/>
                <w:sz w:val="22"/>
                <w:szCs w:val="22"/>
                <w:highlight w:val="none"/>
                <w:lang w:val="en-US" w:eastAsia="zh-CN"/>
              </w:rPr>
              <w:t>周</w:t>
            </w:r>
            <w:r>
              <w:rPr>
                <w:rFonts w:hint="eastAsia" w:ascii="宋体" w:hAnsi="宋体" w:eastAsia="宋体" w:cs="宋体"/>
                <w:b w:val="0"/>
                <w:color w:val="auto"/>
                <w:sz w:val="22"/>
                <w:szCs w:val="22"/>
                <w:highlight w:val="none"/>
                <w:lang w:val="en-US" w:eastAsia="zh-CN"/>
              </w:rPr>
              <w:t>岁且</w:t>
            </w:r>
            <w:r>
              <w:rPr>
                <w:rFonts w:hint="eastAsia" w:ascii="宋体" w:hAnsi="宋体" w:eastAsia="宋体" w:cs="宋体"/>
                <w:b w:val="0"/>
                <w:color w:val="auto"/>
                <w:sz w:val="22"/>
                <w:szCs w:val="22"/>
                <w:highlight w:val="none"/>
              </w:rPr>
              <w:t>具有</w:t>
            </w:r>
            <w:r>
              <w:rPr>
                <w:rFonts w:hint="eastAsia" w:ascii="宋体" w:hAnsi="宋体" w:eastAsia="宋体" w:cs="宋体"/>
                <w:b w:val="0"/>
                <w:color w:val="auto"/>
                <w:sz w:val="22"/>
                <w:szCs w:val="22"/>
                <w:highlight w:val="none"/>
                <w:lang w:val="en-US" w:eastAsia="zh-CN"/>
              </w:rPr>
              <w:t>3年以上项目管理工作经验得1分；3年以下得0.5分；</w:t>
            </w:r>
            <w:r>
              <w:rPr>
                <w:rFonts w:hint="eastAsia" w:ascii="宋体" w:hAnsi="宋体" w:cs="宋体"/>
                <w:b w:val="0"/>
                <w:color w:val="auto"/>
                <w:sz w:val="22"/>
                <w:szCs w:val="22"/>
                <w:highlight w:val="none"/>
                <w:lang w:val="en-US" w:eastAsia="zh-CN"/>
              </w:rPr>
              <w:t>最高得1分，</w:t>
            </w:r>
            <w:r>
              <w:rPr>
                <w:rFonts w:hint="eastAsia" w:ascii="宋体" w:hAnsi="宋体" w:eastAsia="宋体" w:cs="宋体"/>
                <w:b w:val="0"/>
                <w:color w:val="auto"/>
                <w:sz w:val="22"/>
                <w:szCs w:val="22"/>
                <w:highlight w:val="none"/>
                <w:lang w:val="en-US" w:eastAsia="zh-CN"/>
              </w:rPr>
              <w:t>不满足的不得分。</w:t>
            </w:r>
          </w:p>
          <w:p w14:paraId="2A31E4CD">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注：需提供业绩合同；服务合同不能体现年限的提供业主证明。</w:t>
            </w:r>
          </w:p>
          <w:p w14:paraId="572CD745">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color w:val="auto"/>
                <w:spacing w:val="-9"/>
                <w:sz w:val="22"/>
                <w:szCs w:val="22"/>
                <w:highlight w:val="none"/>
              </w:rPr>
            </w:pP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拟派项目负责人具有行业培训合格的</w:t>
            </w:r>
            <w:r>
              <w:rPr>
                <w:rFonts w:hint="eastAsia" w:ascii="宋体" w:hAnsi="宋体" w:eastAsia="宋体" w:cs="宋体"/>
                <w:b w:val="0"/>
                <w:color w:val="auto"/>
                <w:sz w:val="22"/>
                <w:szCs w:val="22"/>
                <w:highlight w:val="none"/>
              </w:rPr>
              <w:t>中级及以</w:t>
            </w:r>
            <w:r>
              <w:rPr>
                <w:rFonts w:hint="eastAsia" w:ascii="宋体" w:hAnsi="宋体" w:eastAsia="宋体" w:cs="宋体"/>
                <w:b w:val="0"/>
                <w:color w:val="auto"/>
                <w:sz w:val="22"/>
                <w:szCs w:val="22"/>
                <w:highlight w:val="none"/>
                <w:lang w:val="en-US" w:eastAsia="zh-CN"/>
              </w:rPr>
              <w:t>上环卫</w:t>
            </w:r>
            <w:r>
              <w:rPr>
                <w:rFonts w:hint="eastAsia" w:ascii="宋体" w:hAnsi="宋体" w:eastAsia="宋体" w:cs="宋体"/>
                <w:b w:val="0"/>
                <w:color w:val="auto"/>
                <w:sz w:val="22"/>
                <w:szCs w:val="22"/>
                <w:highlight w:val="none"/>
              </w:rPr>
              <w:t>项目经理证</w:t>
            </w:r>
            <w:r>
              <w:rPr>
                <w:rFonts w:hint="eastAsia" w:ascii="宋体" w:hAnsi="宋体" w:eastAsia="宋体" w:cs="宋体"/>
                <w:b w:val="0"/>
                <w:color w:val="auto"/>
                <w:sz w:val="22"/>
                <w:szCs w:val="22"/>
                <w:highlight w:val="none"/>
                <w:lang w:val="en-US" w:eastAsia="zh-CN"/>
              </w:rPr>
              <w:t>书</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lang w:val="en-US" w:eastAsia="zh-CN"/>
              </w:rPr>
              <w:t>垃圾分类督导员、河道保洁工程师证书、智慧环卫工程师；全部具备得</w:t>
            </w: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分</w:t>
            </w:r>
            <w:r>
              <w:rPr>
                <w:rFonts w:hint="eastAsia" w:ascii="宋体" w:hAnsi="宋体" w:eastAsia="宋体" w:cs="宋体"/>
                <w:b w:val="0"/>
                <w:color w:val="auto"/>
                <w:sz w:val="22"/>
                <w:szCs w:val="22"/>
                <w:highlight w:val="none"/>
                <w:lang w:eastAsia="zh-CN"/>
              </w:rPr>
              <w:t>，</w:t>
            </w:r>
            <w:r>
              <w:rPr>
                <w:rFonts w:hint="eastAsia" w:ascii="宋体" w:hAnsi="宋体" w:eastAsia="宋体" w:cs="宋体"/>
                <w:b w:val="0"/>
                <w:color w:val="auto"/>
                <w:sz w:val="22"/>
                <w:szCs w:val="22"/>
                <w:highlight w:val="none"/>
                <w:lang w:val="en-US" w:eastAsia="zh-CN"/>
              </w:rPr>
              <w:t>缺一项扣</w:t>
            </w:r>
            <w:r>
              <w:rPr>
                <w:rFonts w:hint="eastAsia" w:ascii="宋体" w:hAnsi="宋体" w:cs="宋体"/>
                <w:b w:val="0"/>
                <w:color w:val="auto"/>
                <w:sz w:val="22"/>
                <w:szCs w:val="22"/>
                <w:highlight w:val="none"/>
                <w:lang w:val="en-US" w:eastAsia="zh-CN"/>
              </w:rPr>
              <w:t>1</w:t>
            </w:r>
            <w:r>
              <w:rPr>
                <w:rFonts w:hint="eastAsia" w:ascii="宋体" w:hAnsi="宋体" w:eastAsia="宋体" w:cs="宋体"/>
                <w:b w:val="0"/>
                <w:color w:val="auto"/>
                <w:sz w:val="22"/>
                <w:szCs w:val="22"/>
                <w:highlight w:val="none"/>
                <w:lang w:val="en-US" w:eastAsia="zh-CN"/>
              </w:rPr>
              <w:t>分</w:t>
            </w:r>
            <w:r>
              <w:rPr>
                <w:rFonts w:hint="eastAsia" w:ascii="宋体" w:hAnsi="宋体" w:eastAsia="宋体" w:cs="宋体"/>
                <w:b w:val="0"/>
                <w:color w:val="auto"/>
                <w:sz w:val="22"/>
                <w:szCs w:val="22"/>
                <w:highlight w:val="none"/>
              </w:rPr>
              <w:t>。</w:t>
            </w:r>
          </w:p>
          <w:p w14:paraId="29F4D9A3">
            <w:pPr>
              <w:pStyle w:val="32"/>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val="en-US" w:eastAsia="zh-CN"/>
              </w:rPr>
            </w:pPr>
            <w:r>
              <w:rPr>
                <w:rFonts w:hint="eastAsia" w:ascii="宋体" w:hAnsi="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lang w:val="en-US" w:eastAsia="zh-CN"/>
              </w:rPr>
              <w:t>拟派管理人员年龄不超过50岁且具有安全员证书和有害生物防治员证书的得</w:t>
            </w:r>
            <w:r>
              <w:rPr>
                <w:rFonts w:hint="eastAsia" w:ascii="宋体" w:hAnsi="宋体" w:cs="宋体"/>
                <w:b w:val="0"/>
                <w:color w:val="auto"/>
                <w:sz w:val="22"/>
                <w:szCs w:val="22"/>
                <w:highlight w:val="none"/>
                <w:lang w:val="en-US" w:eastAsia="zh-CN"/>
              </w:rPr>
              <w:t>2</w:t>
            </w:r>
            <w:r>
              <w:rPr>
                <w:rFonts w:hint="eastAsia" w:ascii="宋体" w:hAnsi="宋体" w:eastAsia="宋体" w:cs="宋体"/>
                <w:b w:val="0"/>
                <w:color w:val="auto"/>
                <w:sz w:val="22"/>
                <w:szCs w:val="22"/>
                <w:highlight w:val="none"/>
                <w:lang w:val="en-US" w:eastAsia="zh-CN"/>
              </w:rPr>
              <w:t>分；提供不全不得分。</w:t>
            </w:r>
          </w:p>
          <w:p w14:paraId="3BB0F8E2">
            <w:pPr>
              <w:widowControl/>
              <w:spacing w:beforeAutospacing="0" w:afterAutospacing="0"/>
              <w:jc w:val="left"/>
              <w:rPr>
                <w:rFonts w:hint="eastAsia" w:ascii="宋体" w:hAnsi="宋体" w:eastAsia="宋体" w:cs="Times New Roman"/>
                <w:color w:val="auto"/>
                <w:kern w:val="0"/>
                <w:sz w:val="22"/>
                <w:szCs w:val="22"/>
                <w:highlight w:val="none"/>
                <w:shd w:val="clear" w:color="auto" w:fill="FFFFFF"/>
                <w:lang w:eastAsia="zh-CN" w:bidi="ar-SA"/>
              </w:rPr>
            </w:pPr>
            <w:r>
              <w:rPr>
                <w:rFonts w:hint="eastAsia" w:ascii="宋体" w:hAnsi="宋体" w:eastAsia="宋体" w:cs="宋体"/>
                <w:b/>
                <w:bCs/>
                <w:color w:val="auto"/>
                <w:sz w:val="22"/>
                <w:szCs w:val="22"/>
                <w:highlight w:val="none"/>
              </w:rPr>
              <w:t>注：提供有效期内的证书扫描件加盖公章及磋商截止时间前本单位</w:t>
            </w:r>
            <w:r>
              <w:rPr>
                <w:rFonts w:hint="eastAsia" w:ascii="宋体" w:hAnsi="宋体" w:eastAsia="宋体" w:cs="宋体"/>
                <w:b/>
                <w:bCs/>
                <w:color w:val="auto"/>
                <w:sz w:val="22"/>
                <w:szCs w:val="22"/>
                <w:highlight w:val="none"/>
                <w:lang w:val="en-US" w:eastAsia="zh-CN"/>
              </w:rPr>
              <w:t>至少6个月</w:t>
            </w:r>
            <w:r>
              <w:rPr>
                <w:rFonts w:hint="eastAsia" w:ascii="宋体" w:hAnsi="宋体" w:eastAsia="宋体" w:cs="宋体"/>
                <w:b/>
                <w:bCs/>
                <w:color w:val="auto"/>
                <w:sz w:val="22"/>
                <w:szCs w:val="22"/>
                <w:highlight w:val="none"/>
              </w:rPr>
              <w:t>社保缴纳证明电子件加盖公章。以上证明材料未提供或提供不全的不得分。</w:t>
            </w:r>
          </w:p>
        </w:tc>
      </w:tr>
      <w:tr w14:paraId="0C9149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41" w:hRule="atLeast"/>
          <w:jc w:val="center"/>
        </w:trPr>
        <w:tc>
          <w:tcPr>
            <w:tcW w:w="329" w:type="pct"/>
            <w:tcBorders>
              <w:tl2br w:val="nil"/>
              <w:tr2bl w:val="nil"/>
            </w:tcBorders>
            <w:noWrap/>
            <w:vAlign w:val="center"/>
          </w:tcPr>
          <w:p w14:paraId="723624D0">
            <w:pPr>
              <w:widowControl/>
              <w:spacing w:beforeAutospacing="0" w:afterAutospacing="0"/>
              <w:jc w:val="center"/>
              <w:rPr>
                <w:rFonts w:ascii="宋体" w:hAnsi="宋体" w:eastAsia="宋体" w:cs="Times New Roman"/>
                <w:color w:val="auto"/>
                <w:kern w:val="0"/>
                <w:sz w:val="22"/>
                <w:szCs w:val="22"/>
                <w:highlight w:val="none"/>
                <w:shd w:val="clear" w:color="auto" w:fill="FFFFFF"/>
                <w:lang w:val="en-US" w:eastAsia="zh-CN" w:bidi="ar-SA"/>
              </w:rPr>
            </w:pPr>
            <w:r>
              <w:rPr>
                <w:rFonts w:hint="eastAsia" w:ascii="宋体" w:hAnsi="宋体" w:cs="Times New Roman"/>
                <w:color w:val="auto"/>
                <w:kern w:val="0"/>
                <w:sz w:val="22"/>
                <w:szCs w:val="22"/>
                <w:highlight w:val="none"/>
                <w:shd w:val="clear" w:color="auto" w:fill="FFFFFF"/>
                <w:lang w:val="en-US" w:eastAsia="zh-CN" w:bidi="ar-SA"/>
              </w:rPr>
              <w:t>4</w:t>
            </w:r>
          </w:p>
        </w:tc>
        <w:tc>
          <w:tcPr>
            <w:tcW w:w="748" w:type="pct"/>
            <w:tcBorders>
              <w:tl2br w:val="nil"/>
              <w:tr2bl w:val="nil"/>
            </w:tcBorders>
            <w:noWrap/>
            <w:vAlign w:val="center"/>
          </w:tcPr>
          <w:p w14:paraId="59A1B843">
            <w:pPr>
              <w:jc w:val="center"/>
              <w:rPr>
                <w:rFonts w:hint="eastAsia"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宋体"/>
                <w:color w:val="auto"/>
                <w:sz w:val="22"/>
                <w:szCs w:val="22"/>
                <w:highlight w:val="none"/>
              </w:rPr>
              <w:t>供应商综合</w:t>
            </w:r>
            <w:r>
              <w:rPr>
                <w:rFonts w:hint="eastAsia" w:ascii="宋体" w:hAnsi="宋体" w:cs="宋体"/>
                <w:color w:val="auto"/>
                <w:sz w:val="22"/>
                <w:szCs w:val="22"/>
                <w:highlight w:val="none"/>
                <w:lang w:val="en-US" w:eastAsia="zh-CN"/>
              </w:rPr>
              <w:t>情况</w:t>
            </w:r>
          </w:p>
        </w:tc>
        <w:tc>
          <w:tcPr>
            <w:tcW w:w="318" w:type="pct"/>
            <w:tcBorders>
              <w:tl2br w:val="nil"/>
              <w:tr2bl w:val="nil"/>
            </w:tcBorders>
            <w:noWrap/>
            <w:vAlign w:val="center"/>
          </w:tcPr>
          <w:p w14:paraId="4BC49827">
            <w:pPr>
              <w:widowControl/>
              <w:spacing w:beforeAutospacing="0" w:afterAutospacing="0"/>
              <w:jc w:val="center"/>
              <w:rPr>
                <w:rFonts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Times New Roman" w:cs="Times New Roman"/>
                <w:color w:val="auto"/>
                <w:kern w:val="0"/>
                <w:sz w:val="22"/>
                <w:szCs w:val="22"/>
                <w:highlight w:val="none"/>
                <w:shd w:val="clear" w:color="auto" w:fill="FFFFFF"/>
                <w:lang w:val="en-US" w:eastAsia="zh-CN" w:bidi="ar-SA"/>
              </w:rPr>
              <w:t>6</w:t>
            </w:r>
          </w:p>
        </w:tc>
        <w:tc>
          <w:tcPr>
            <w:tcW w:w="3603" w:type="pct"/>
            <w:tcBorders>
              <w:tl2br w:val="nil"/>
              <w:tr2bl w:val="nil"/>
            </w:tcBorders>
            <w:noWrap/>
            <w:vAlign w:val="center"/>
          </w:tcPr>
          <w:p w14:paraId="27891E2F">
            <w:pPr>
              <w:widowControl/>
              <w:spacing w:beforeAutospacing="0" w:afterAutospacing="0"/>
              <w:jc w:val="left"/>
              <w:rPr>
                <w:rFonts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宋体"/>
                <w:color w:val="auto"/>
                <w:sz w:val="22"/>
                <w:szCs w:val="22"/>
                <w:highlight w:val="none"/>
              </w:rPr>
              <w:t>供应商具有政府部门颁发的“城市生活垃圾经营性清扫、收集、运输许可证”的得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val="en-US" w:eastAsia="zh-CN"/>
              </w:rPr>
              <w:t>具有</w:t>
            </w:r>
            <w:r>
              <w:rPr>
                <w:rFonts w:hint="eastAsia" w:ascii="宋体" w:hAnsi="宋体" w:eastAsia="宋体" w:cs="宋体"/>
                <w:color w:val="auto"/>
                <w:sz w:val="22"/>
                <w:szCs w:val="22"/>
                <w:highlight w:val="none"/>
              </w:rPr>
              <w:t>“道路运输</w:t>
            </w:r>
            <w:r>
              <w:rPr>
                <w:rFonts w:hint="eastAsia" w:ascii="宋体" w:hAnsi="宋体" w:cs="宋体"/>
                <w:color w:val="auto"/>
                <w:sz w:val="22"/>
                <w:szCs w:val="22"/>
                <w:highlight w:val="none"/>
                <w:lang w:val="en-US" w:eastAsia="zh-CN"/>
              </w:rPr>
              <w:t>经营</w:t>
            </w:r>
            <w:r>
              <w:rPr>
                <w:rFonts w:hint="eastAsia" w:ascii="宋体" w:hAnsi="宋体" w:eastAsia="宋体" w:cs="宋体"/>
                <w:color w:val="auto"/>
                <w:sz w:val="22"/>
                <w:szCs w:val="22"/>
                <w:highlight w:val="none"/>
              </w:rPr>
              <w:t>许可证”的得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满分6分。</w:t>
            </w:r>
          </w:p>
        </w:tc>
      </w:tr>
      <w:tr w14:paraId="5C270C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41" w:hRule="atLeast"/>
          <w:jc w:val="center"/>
        </w:trPr>
        <w:tc>
          <w:tcPr>
            <w:tcW w:w="329" w:type="pct"/>
            <w:tcBorders>
              <w:tl2br w:val="nil"/>
              <w:tr2bl w:val="nil"/>
            </w:tcBorders>
            <w:noWrap/>
            <w:vAlign w:val="center"/>
          </w:tcPr>
          <w:p w14:paraId="165B1CC9">
            <w:pPr>
              <w:widowControl/>
              <w:spacing w:beforeAutospacing="0" w:afterAutospacing="0"/>
              <w:jc w:val="center"/>
              <w:rPr>
                <w:rFonts w:hint="default" w:ascii="宋体" w:hAnsi="宋体" w:eastAsia="宋体" w:cs="Times New Roman"/>
                <w:color w:val="auto"/>
                <w:kern w:val="0"/>
                <w:sz w:val="22"/>
                <w:szCs w:val="22"/>
                <w:highlight w:val="none"/>
                <w:shd w:val="clear" w:color="auto" w:fill="FFFFFF"/>
                <w:lang w:val="en-US" w:eastAsia="zh-CN" w:bidi="ar-SA"/>
              </w:rPr>
            </w:pPr>
            <w:r>
              <w:rPr>
                <w:rFonts w:hint="eastAsia" w:ascii="宋体" w:hAnsi="宋体" w:cs="Times New Roman"/>
                <w:color w:val="auto"/>
                <w:kern w:val="0"/>
                <w:sz w:val="22"/>
                <w:szCs w:val="22"/>
                <w:highlight w:val="none"/>
                <w:shd w:val="clear" w:color="auto" w:fill="FFFFFF"/>
                <w:lang w:val="en-US" w:eastAsia="zh-CN" w:bidi="ar-SA"/>
              </w:rPr>
              <w:t>5</w:t>
            </w:r>
          </w:p>
        </w:tc>
        <w:tc>
          <w:tcPr>
            <w:tcW w:w="748" w:type="pct"/>
            <w:tcBorders>
              <w:tl2br w:val="nil"/>
              <w:tr2bl w:val="nil"/>
            </w:tcBorders>
            <w:noWrap/>
            <w:vAlign w:val="center"/>
          </w:tcPr>
          <w:p w14:paraId="54C84AA6">
            <w:pPr>
              <w:widowControl/>
              <w:spacing w:beforeAutospacing="0" w:afterAutospacing="0"/>
              <w:jc w:val="center"/>
              <w:rPr>
                <w:rFonts w:hint="eastAsia" w:ascii="宋体" w:hAnsi="宋体" w:eastAsia="宋体" w:cs="Times New Roman"/>
                <w:color w:val="auto"/>
                <w:kern w:val="0"/>
                <w:sz w:val="22"/>
                <w:szCs w:val="22"/>
                <w:highlight w:val="none"/>
                <w:shd w:val="clear" w:color="auto" w:fill="FFFFFF"/>
                <w:lang w:eastAsia="zh-CN" w:bidi="ar-SA"/>
              </w:rPr>
            </w:pP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履约能力</w:t>
            </w:r>
          </w:p>
        </w:tc>
        <w:tc>
          <w:tcPr>
            <w:tcW w:w="318" w:type="pct"/>
            <w:tcBorders>
              <w:tl2br w:val="nil"/>
              <w:tr2bl w:val="nil"/>
            </w:tcBorders>
            <w:noWrap/>
            <w:vAlign w:val="center"/>
          </w:tcPr>
          <w:p w14:paraId="460C0CD7">
            <w:pPr>
              <w:widowControl/>
              <w:spacing w:beforeAutospacing="0" w:afterAutospacing="0"/>
              <w:jc w:val="left"/>
              <w:rPr>
                <w:rFonts w:hint="default" w:ascii="宋体" w:hAnsi="宋体" w:eastAsia="Times New Roman" w:cs="Times New Roman"/>
                <w:color w:val="auto"/>
                <w:kern w:val="0"/>
                <w:sz w:val="22"/>
                <w:szCs w:val="22"/>
                <w:highlight w:val="none"/>
                <w:shd w:val="clear" w:color="auto" w:fill="FFFFFF"/>
                <w:lang w:val="en-US" w:eastAsia="zh-CN" w:bidi="ar-SA"/>
              </w:rPr>
            </w:pPr>
            <w:r>
              <w:rPr>
                <w:rFonts w:hint="eastAsia" w:ascii="宋体" w:hAnsi="宋体" w:eastAsia="Times New Roman" w:cs="Times New Roman"/>
                <w:color w:val="auto"/>
                <w:kern w:val="0"/>
                <w:sz w:val="22"/>
                <w:szCs w:val="22"/>
                <w:highlight w:val="none"/>
                <w:shd w:val="clear" w:color="auto" w:fill="FFFFFF"/>
                <w:lang w:val="en-US" w:eastAsia="zh-CN" w:bidi="ar-SA"/>
              </w:rPr>
              <w:t xml:space="preserve"> 3</w:t>
            </w:r>
          </w:p>
        </w:tc>
        <w:tc>
          <w:tcPr>
            <w:tcW w:w="3603" w:type="pct"/>
            <w:tcBorders>
              <w:tl2br w:val="nil"/>
              <w:tr2bl w:val="nil"/>
            </w:tcBorders>
            <w:noWrap/>
            <w:vAlign w:val="center"/>
          </w:tcPr>
          <w:p w14:paraId="71611B7C">
            <w:pPr>
              <w:pStyle w:val="9"/>
              <w:rPr>
                <w:rFonts w:hint="eastAsia" w:ascii="宋体" w:hAnsi="宋体" w:eastAsia="宋体" w:cs="宋体"/>
                <w:color w:val="auto"/>
                <w:sz w:val="22"/>
                <w:szCs w:val="22"/>
                <w:highlight w:val="none"/>
              </w:rPr>
            </w:pPr>
            <w:r>
              <w:rPr>
                <w:rFonts w:hint="eastAsia" w:ascii="宋体" w:hAnsi="宋体" w:eastAsia="宋体" w:cs="宋体"/>
                <w:b w:val="0"/>
                <w:color w:val="auto"/>
                <w:sz w:val="22"/>
                <w:szCs w:val="22"/>
                <w:highlight w:val="none"/>
                <w:lang w:val="en-US" w:eastAsia="zh-CN"/>
              </w:rPr>
              <w:t>投标人提供至2022年以来</w:t>
            </w:r>
            <w:r>
              <w:rPr>
                <w:rFonts w:hint="eastAsia" w:ascii="宋体" w:hAnsi="宋体" w:eastAsia="宋体" w:cs="宋体"/>
                <w:b w:val="0"/>
                <w:color w:val="auto"/>
                <w:sz w:val="22"/>
                <w:szCs w:val="22"/>
                <w:highlight w:val="none"/>
              </w:rPr>
              <w:t>政府部门颁发的</w:t>
            </w:r>
            <w:r>
              <w:rPr>
                <w:color w:val="auto"/>
                <w:highlight w:val="none"/>
              </w:rPr>
              <w:t>保洁环保类似</w:t>
            </w:r>
            <w:r>
              <w:rPr>
                <w:rFonts w:hint="eastAsia" w:ascii="宋体" w:hAnsi="宋体" w:eastAsia="宋体" w:cs="宋体"/>
                <w:b w:val="0"/>
                <w:color w:val="auto"/>
                <w:sz w:val="22"/>
                <w:szCs w:val="22"/>
                <w:highlight w:val="none"/>
                <w:lang w:val="en-US" w:eastAsia="zh-CN"/>
              </w:rPr>
              <w:t>集体</w:t>
            </w:r>
            <w:r>
              <w:rPr>
                <w:rFonts w:hint="eastAsia" w:ascii="宋体" w:hAnsi="宋体" w:eastAsia="宋体" w:cs="宋体"/>
                <w:b w:val="0"/>
                <w:color w:val="auto"/>
                <w:sz w:val="22"/>
                <w:szCs w:val="22"/>
                <w:highlight w:val="none"/>
              </w:rPr>
              <w:t>荣誉</w:t>
            </w:r>
            <w:r>
              <w:rPr>
                <w:rFonts w:hint="eastAsia" w:ascii="宋体" w:hAnsi="宋体" w:eastAsia="宋体" w:cs="宋体"/>
                <w:b w:val="0"/>
                <w:color w:val="auto"/>
                <w:sz w:val="22"/>
                <w:szCs w:val="22"/>
                <w:highlight w:val="none"/>
                <w:lang w:val="en-US" w:eastAsia="zh-CN"/>
              </w:rPr>
              <w:t>（荣誉名称不作要求）</w:t>
            </w:r>
            <w:r>
              <w:rPr>
                <w:rFonts w:hint="eastAsia" w:ascii="宋体" w:hAnsi="宋体" w:eastAsia="宋体" w:cs="宋体"/>
                <w:b w:val="0"/>
                <w:color w:val="auto"/>
                <w:sz w:val="22"/>
                <w:szCs w:val="22"/>
                <w:highlight w:val="none"/>
              </w:rPr>
              <w:t>。省级及以上的得3分，市级得2分，县级得1分，不累计计分，最高得3分</w:t>
            </w:r>
            <w:r>
              <w:rPr>
                <w:rFonts w:hint="eastAsia" w:ascii="宋体" w:hAnsi="宋体" w:cs="宋体"/>
                <w:b w:val="0"/>
                <w:color w:val="auto"/>
                <w:sz w:val="22"/>
                <w:szCs w:val="22"/>
                <w:highlight w:val="none"/>
                <w:lang w:eastAsia="zh-CN"/>
              </w:rPr>
              <w:t>。</w:t>
            </w:r>
          </w:p>
          <w:p w14:paraId="64613562">
            <w:pPr>
              <w:widowControl/>
              <w:spacing w:beforeAutospacing="0" w:afterAutospacing="0"/>
              <w:jc w:val="left"/>
              <w:rPr>
                <w:rFonts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宋体"/>
                <w:b/>
                <w:bCs/>
                <w:color w:val="auto"/>
                <w:sz w:val="22"/>
                <w:szCs w:val="22"/>
                <w:highlight w:val="none"/>
              </w:rPr>
              <w:t>注：提供</w:t>
            </w:r>
            <w:r>
              <w:rPr>
                <w:rFonts w:hint="eastAsia" w:ascii="宋体" w:hAnsi="宋体" w:eastAsia="宋体" w:cs="宋体"/>
                <w:b/>
                <w:bCs/>
                <w:color w:val="auto"/>
                <w:sz w:val="22"/>
                <w:szCs w:val="22"/>
                <w:highlight w:val="none"/>
                <w:lang w:eastAsia="zh-CN"/>
              </w:rPr>
              <w:t>相关证</w:t>
            </w:r>
            <w:r>
              <w:rPr>
                <w:rFonts w:hint="eastAsia" w:ascii="宋体" w:hAnsi="宋体" w:eastAsia="宋体" w:cs="宋体"/>
                <w:b/>
                <w:bCs/>
                <w:color w:val="auto"/>
                <w:sz w:val="22"/>
                <w:szCs w:val="22"/>
                <w:highlight w:val="none"/>
                <w:lang w:val="en-US" w:eastAsia="zh-CN"/>
              </w:rPr>
              <w:t>书</w:t>
            </w:r>
            <w:r>
              <w:rPr>
                <w:rFonts w:hint="eastAsia" w:ascii="宋体" w:hAnsi="宋体" w:eastAsia="宋体" w:cs="宋体"/>
                <w:b/>
                <w:bCs/>
                <w:color w:val="auto"/>
                <w:sz w:val="22"/>
                <w:szCs w:val="22"/>
                <w:highlight w:val="none"/>
                <w:lang w:eastAsia="zh-CN"/>
              </w:rPr>
              <w:t>的</w:t>
            </w:r>
            <w:r>
              <w:rPr>
                <w:rFonts w:hint="eastAsia" w:ascii="宋体" w:hAnsi="宋体" w:eastAsia="宋体" w:cs="宋体"/>
                <w:b/>
                <w:bCs/>
                <w:color w:val="auto"/>
                <w:sz w:val="22"/>
                <w:szCs w:val="22"/>
                <w:highlight w:val="none"/>
              </w:rPr>
              <w:t>扫描件加盖公章</w:t>
            </w:r>
            <w:r>
              <w:rPr>
                <w:rFonts w:hint="eastAsia" w:ascii="宋体" w:hAnsi="宋体" w:eastAsia="宋体" w:cs="宋体"/>
                <w:b/>
                <w:bCs/>
                <w:color w:val="auto"/>
                <w:sz w:val="22"/>
                <w:szCs w:val="22"/>
                <w:highlight w:val="none"/>
                <w:lang w:val="en-US" w:eastAsia="zh-CN"/>
              </w:rPr>
              <w:t>和主管部门公示截图或嘉奖文件（需体现单位信息）；</w:t>
            </w:r>
            <w:r>
              <w:rPr>
                <w:rFonts w:hint="eastAsia" w:ascii="宋体" w:hAnsi="宋体" w:eastAsia="宋体" w:cs="宋体"/>
                <w:b/>
                <w:bCs/>
                <w:color w:val="auto"/>
                <w:sz w:val="22"/>
                <w:szCs w:val="22"/>
                <w:highlight w:val="none"/>
              </w:rPr>
              <w:t>否则不得分。</w:t>
            </w:r>
          </w:p>
        </w:tc>
      </w:tr>
      <w:tr w14:paraId="448CDB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41" w:hRule="atLeast"/>
          <w:jc w:val="center"/>
        </w:trPr>
        <w:tc>
          <w:tcPr>
            <w:tcW w:w="329" w:type="pct"/>
            <w:tcBorders>
              <w:tl2br w:val="nil"/>
              <w:tr2bl w:val="nil"/>
            </w:tcBorders>
            <w:noWrap/>
            <w:vAlign w:val="center"/>
          </w:tcPr>
          <w:p w14:paraId="36C0E025">
            <w:pPr>
              <w:widowControl/>
              <w:spacing w:beforeAutospacing="0" w:afterAutospacing="0"/>
              <w:jc w:val="left"/>
              <w:rPr>
                <w:rFonts w:hint="eastAsia" w:ascii="宋体" w:hAnsi="宋体" w:eastAsia="宋体" w:cs="Times New Roman"/>
                <w:color w:val="auto"/>
                <w:kern w:val="0"/>
                <w:sz w:val="22"/>
                <w:szCs w:val="22"/>
                <w:highlight w:val="none"/>
                <w:shd w:val="clear" w:color="auto" w:fill="FFFFFF"/>
                <w:lang w:val="en-US" w:eastAsia="zh-CN" w:bidi="ar-SA"/>
              </w:rPr>
            </w:pPr>
          </w:p>
        </w:tc>
        <w:tc>
          <w:tcPr>
            <w:tcW w:w="4670" w:type="pct"/>
            <w:gridSpan w:val="3"/>
            <w:tcBorders>
              <w:tl2br w:val="nil"/>
              <w:tr2bl w:val="nil"/>
            </w:tcBorders>
            <w:noWrap/>
            <w:vAlign w:val="center"/>
          </w:tcPr>
          <w:p w14:paraId="70C96786">
            <w:pPr>
              <w:widowControl/>
              <w:spacing w:beforeAutospacing="0" w:afterAutospacing="0"/>
              <w:jc w:val="left"/>
              <w:rPr>
                <w:rFonts w:hint="eastAsia" w:ascii="宋体" w:hAnsi="宋体" w:eastAsia="宋体" w:cs="Times New Roman"/>
                <w:color w:val="auto"/>
                <w:kern w:val="0"/>
                <w:sz w:val="22"/>
                <w:szCs w:val="22"/>
                <w:highlight w:val="none"/>
                <w:shd w:val="clear" w:color="auto" w:fill="FFFFFF"/>
                <w:lang w:eastAsia="zh-CN" w:bidi="ar-SA"/>
              </w:rPr>
            </w:pPr>
            <w:r>
              <w:rPr>
                <w:rFonts w:hint="eastAsia" w:ascii="宋体" w:hAnsi="宋体" w:eastAsia="宋体" w:cs="Times New Roman"/>
                <w:color w:val="auto"/>
                <w:kern w:val="0"/>
                <w:sz w:val="22"/>
                <w:szCs w:val="22"/>
                <w:highlight w:val="none"/>
                <w:shd w:val="clear" w:color="auto" w:fill="FFFFFF"/>
                <w:lang w:val="en-US" w:eastAsia="zh-CN" w:bidi="ar-SA"/>
              </w:rPr>
              <w:t>技术部分（</w:t>
            </w:r>
            <w:r>
              <w:rPr>
                <w:rFonts w:hint="eastAsia" w:ascii="宋体" w:hAnsi="宋体" w:cs="Times New Roman"/>
                <w:color w:val="auto"/>
                <w:kern w:val="0"/>
                <w:sz w:val="22"/>
                <w:szCs w:val="22"/>
                <w:highlight w:val="none"/>
                <w:shd w:val="clear" w:color="auto" w:fill="FFFFFF"/>
                <w:lang w:val="en-US" w:eastAsia="zh-CN" w:bidi="ar-SA"/>
              </w:rPr>
              <w:t>59</w:t>
            </w:r>
            <w:r>
              <w:rPr>
                <w:rFonts w:hint="eastAsia" w:ascii="宋体" w:hAnsi="宋体" w:eastAsia="宋体" w:cs="Times New Roman"/>
                <w:color w:val="auto"/>
                <w:kern w:val="0"/>
                <w:sz w:val="22"/>
                <w:szCs w:val="22"/>
                <w:highlight w:val="none"/>
                <w:shd w:val="clear" w:color="auto" w:fill="FFFFFF"/>
                <w:lang w:val="en-US" w:eastAsia="zh-CN" w:bidi="ar-SA"/>
              </w:rPr>
              <w:t>分）</w:t>
            </w:r>
          </w:p>
        </w:tc>
      </w:tr>
      <w:tr w14:paraId="37C497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55" w:hRule="atLeast"/>
          <w:jc w:val="center"/>
        </w:trPr>
        <w:tc>
          <w:tcPr>
            <w:tcW w:w="329" w:type="pct"/>
            <w:vMerge w:val="restart"/>
            <w:tcBorders>
              <w:tl2br w:val="nil"/>
              <w:tr2bl w:val="nil"/>
            </w:tcBorders>
            <w:noWrap/>
            <w:vAlign w:val="center"/>
          </w:tcPr>
          <w:p w14:paraId="4B4BFABB">
            <w:pPr>
              <w:widowControl/>
              <w:spacing w:beforeAutospacing="0" w:afterAutospacing="0"/>
              <w:jc w:val="center"/>
              <w:rPr>
                <w:rFonts w:ascii="宋体" w:hAnsi="宋体" w:eastAsia="Times New Roman" w:cs="Times New Roman"/>
                <w:color w:val="auto"/>
                <w:kern w:val="0"/>
                <w:sz w:val="22"/>
                <w:szCs w:val="22"/>
                <w:highlight w:val="none"/>
                <w:shd w:val="clear" w:color="auto" w:fill="FFFFFF"/>
                <w:lang w:val="en-US" w:eastAsia="zh-CN" w:bidi="ar-SA"/>
              </w:rPr>
            </w:pPr>
            <w:r>
              <w:rPr>
                <w:rFonts w:hint="eastAsia" w:ascii="宋体" w:hAnsi="宋体" w:eastAsia="Times New Roman" w:cs="Times New Roman"/>
                <w:color w:val="auto"/>
                <w:kern w:val="0"/>
                <w:sz w:val="22"/>
                <w:szCs w:val="22"/>
                <w:highlight w:val="none"/>
                <w:shd w:val="clear" w:color="auto" w:fill="FFFFFF"/>
                <w:lang w:val="en-US" w:eastAsia="zh-CN" w:bidi="ar-SA"/>
              </w:rPr>
              <w:t>6</w:t>
            </w:r>
          </w:p>
        </w:tc>
        <w:tc>
          <w:tcPr>
            <w:tcW w:w="748" w:type="pct"/>
            <w:vMerge w:val="restart"/>
            <w:tcBorders>
              <w:tl2br w:val="nil"/>
              <w:tr2bl w:val="nil"/>
            </w:tcBorders>
            <w:noWrap/>
            <w:vAlign w:val="center"/>
          </w:tcPr>
          <w:p w14:paraId="3D038338">
            <w:pPr>
              <w:widowControl/>
              <w:spacing w:beforeAutospacing="0" w:afterAutospacing="0"/>
              <w:jc w:val="left"/>
              <w:rPr>
                <w:rFonts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宋体"/>
                <w:color w:val="auto"/>
                <w:sz w:val="22"/>
                <w:szCs w:val="22"/>
                <w:highlight w:val="none"/>
              </w:rPr>
              <w:t>保洁、清扫</w:t>
            </w:r>
            <w:r>
              <w:rPr>
                <w:rFonts w:hint="eastAsia" w:ascii="宋体" w:hAnsi="宋体" w:eastAsia="Times New Roman" w:cs="Times New Roman"/>
                <w:color w:val="auto"/>
                <w:kern w:val="0"/>
                <w:sz w:val="22"/>
                <w:szCs w:val="22"/>
                <w:highlight w:val="none"/>
                <w:shd w:val="clear" w:color="auto" w:fill="FFFFFF"/>
                <w:lang w:val="en-US" w:eastAsia="zh-CN" w:bidi="ar-SA"/>
              </w:rPr>
              <w:t>技术方案</w:t>
            </w:r>
          </w:p>
        </w:tc>
        <w:tc>
          <w:tcPr>
            <w:tcW w:w="318" w:type="pct"/>
            <w:vMerge w:val="restart"/>
            <w:tcBorders>
              <w:tl2br w:val="nil"/>
              <w:tr2bl w:val="nil"/>
            </w:tcBorders>
            <w:noWrap/>
            <w:vAlign w:val="center"/>
          </w:tcPr>
          <w:p w14:paraId="2D830546">
            <w:pPr>
              <w:widowControl/>
              <w:spacing w:beforeAutospacing="0" w:afterAutospacing="0"/>
              <w:jc w:val="both"/>
              <w:rPr>
                <w:rFonts w:hint="default"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Times New Roman" w:cs="Times New Roman"/>
                <w:color w:val="auto"/>
                <w:kern w:val="0"/>
                <w:sz w:val="22"/>
                <w:szCs w:val="22"/>
                <w:highlight w:val="none"/>
                <w:shd w:val="clear" w:color="auto" w:fill="FFFFFF"/>
                <w:lang w:val="en-US" w:eastAsia="zh-CN" w:bidi="ar-SA"/>
              </w:rPr>
              <w:t>20</w:t>
            </w:r>
          </w:p>
        </w:tc>
        <w:tc>
          <w:tcPr>
            <w:tcW w:w="3603" w:type="pct"/>
            <w:tcBorders>
              <w:tl2br w:val="nil"/>
              <w:tr2bl w:val="nil"/>
            </w:tcBorders>
            <w:noWrap/>
            <w:vAlign w:val="center"/>
          </w:tcPr>
          <w:p w14:paraId="78D8961D">
            <w:pPr>
              <w:widowControl/>
              <w:spacing w:beforeAutospacing="0" w:afterAutospacing="0"/>
              <w:jc w:val="both"/>
              <w:rPr>
                <w:rFonts w:hint="eastAsia"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Times New Roman"/>
                <w:color w:val="auto"/>
                <w:kern w:val="0"/>
                <w:sz w:val="22"/>
                <w:szCs w:val="22"/>
                <w:highlight w:val="none"/>
                <w:shd w:val="clear" w:color="auto" w:fill="FFFFFF"/>
                <w:lang w:val="en-US" w:eastAsia="zh-CN" w:bidi="ar-SA"/>
              </w:rPr>
              <w:t>投标人对本项目公厕保洁及河道保洁实施方案：作业计划、排班情况、操作可行性等。本项最高得5分。</w:t>
            </w:r>
            <w:r>
              <w:rPr>
                <w:rFonts w:hint="eastAsia" w:ascii="宋体" w:hAnsi="宋体" w:eastAsia="宋体" w:cs="Times New Roman"/>
                <w:color w:val="auto"/>
                <w:kern w:val="0"/>
                <w:sz w:val="22"/>
                <w:szCs w:val="22"/>
                <w:highlight w:val="none"/>
                <w:shd w:val="clear" w:color="auto" w:fill="FFFFFF"/>
                <w:lang w:val="en-US" w:eastAsia="zh-CN" w:bidi="ar-SA"/>
              </w:rPr>
              <w:br w:type="textWrapping"/>
            </w:r>
            <w:r>
              <w:rPr>
                <w:rFonts w:hint="eastAsia" w:ascii="宋体" w:hAnsi="宋体" w:eastAsia="宋体" w:cs="Times New Roman"/>
                <w:color w:val="auto"/>
                <w:kern w:val="0"/>
                <w:sz w:val="22"/>
                <w:szCs w:val="22"/>
                <w:highlight w:val="none"/>
                <w:shd w:val="clear" w:color="auto" w:fill="FFFFFF"/>
                <w:lang w:val="en-US" w:eastAsia="zh-CN" w:bidi="ar-SA"/>
              </w:rPr>
              <w:t>评分范围（5,4,3,2,1,0）</w:t>
            </w:r>
          </w:p>
        </w:tc>
      </w:tr>
      <w:tr w14:paraId="4A16BA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41" w:hRule="atLeast"/>
          <w:jc w:val="center"/>
        </w:trPr>
        <w:tc>
          <w:tcPr>
            <w:tcW w:w="329" w:type="pct"/>
            <w:vMerge w:val="continue"/>
            <w:tcBorders>
              <w:tl2br w:val="nil"/>
              <w:tr2bl w:val="nil"/>
            </w:tcBorders>
            <w:noWrap/>
            <w:vAlign w:val="center"/>
          </w:tcPr>
          <w:p w14:paraId="74A29C11">
            <w:pPr>
              <w:rPr>
                <w:color w:val="auto"/>
                <w:highlight w:val="none"/>
              </w:rPr>
            </w:pPr>
          </w:p>
        </w:tc>
        <w:tc>
          <w:tcPr>
            <w:tcW w:w="748" w:type="pct"/>
            <w:vMerge w:val="continue"/>
            <w:tcBorders>
              <w:tl2br w:val="nil"/>
              <w:tr2bl w:val="nil"/>
            </w:tcBorders>
            <w:noWrap/>
            <w:vAlign w:val="center"/>
          </w:tcPr>
          <w:p w14:paraId="34972635">
            <w:pPr>
              <w:rPr>
                <w:color w:val="auto"/>
                <w:highlight w:val="none"/>
              </w:rPr>
            </w:pPr>
          </w:p>
        </w:tc>
        <w:tc>
          <w:tcPr>
            <w:tcW w:w="318" w:type="pct"/>
            <w:vMerge w:val="continue"/>
            <w:tcBorders>
              <w:tl2br w:val="nil"/>
              <w:tr2bl w:val="nil"/>
            </w:tcBorders>
            <w:noWrap/>
            <w:vAlign w:val="center"/>
          </w:tcPr>
          <w:p w14:paraId="303210BA">
            <w:pPr>
              <w:rPr>
                <w:color w:val="auto"/>
                <w:highlight w:val="none"/>
              </w:rPr>
            </w:pPr>
          </w:p>
        </w:tc>
        <w:tc>
          <w:tcPr>
            <w:tcW w:w="3603" w:type="pct"/>
            <w:tcBorders>
              <w:tl2br w:val="nil"/>
              <w:tr2bl w:val="nil"/>
            </w:tcBorders>
            <w:noWrap/>
            <w:vAlign w:val="center"/>
          </w:tcPr>
          <w:p w14:paraId="03D5756E">
            <w:pPr>
              <w:widowControl/>
              <w:spacing w:beforeAutospacing="0" w:afterAutospacing="0"/>
              <w:jc w:val="both"/>
              <w:rPr>
                <w:rFonts w:hint="eastAsia"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Times New Roman"/>
                <w:color w:val="auto"/>
                <w:kern w:val="0"/>
                <w:sz w:val="22"/>
                <w:szCs w:val="22"/>
                <w:highlight w:val="none"/>
                <w:shd w:val="clear" w:color="auto" w:fill="FFFFFF"/>
                <w:lang w:val="en-US" w:eastAsia="zh-CN" w:bidi="ar-SA"/>
              </w:rPr>
              <w:t>投标人对道路保洁方案及垃圾桶清洁措施：作业计划、排班情况、操作可行性等。本项最高得5分。</w:t>
            </w:r>
            <w:r>
              <w:rPr>
                <w:rFonts w:hint="eastAsia" w:ascii="宋体" w:hAnsi="宋体" w:eastAsia="宋体" w:cs="Times New Roman"/>
                <w:color w:val="auto"/>
                <w:kern w:val="0"/>
                <w:sz w:val="22"/>
                <w:szCs w:val="22"/>
                <w:highlight w:val="none"/>
                <w:shd w:val="clear" w:color="auto" w:fill="FFFFFF"/>
                <w:lang w:val="en-US" w:eastAsia="zh-CN" w:bidi="ar-SA"/>
              </w:rPr>
              <w:br w:type="textWrapping"/>
            </w:r>
            <w:r>
              <w:rPr>
                <w:rFonts w:hint="eastAsia" w:ascii="宋体" w:hAnsi="宋体" w:eastAsia="宋体" w:cs="Times New Roman"/>
                <w:color w:val="auto"/>
                <w:kern w:val="0"/>
                <w:sz w:val="22"/>
                <w:szCs w:val="22"/>
                <w:highlight w:val="none"/>
                <w:shd w:val="clear" w:color="auto" w:fill="FFFFFF"/>
                <w:lang w:val="en-US" w:eastAsia="zh-CN" w:bidi="ar-SA"/>
              </w:rPr>
              <w:t>评分范围（5,4,3,2,1,0）</w:t>
            </w:r>
          </w:p>
        </w:tc>
      </w:tr>
      <w:tr w14:paraId="5685C7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41" w:hRule="atLeast"/>
          <w:jc w:val="center"/>
        </w:trPr>
        <w:tc>
          <w:tcPr>
            <w:tcW w:w="329" w:type="pct"/>
            <w:vMerge w:val="continue"/>
            <w:tcBorders>
              <w:tl2br w:val="nil"/>
              <w:tr2bl w:val="nil"/>
            </w:tcBorders>
            <w:noWrap/>
            <w:vAlign w:val="center"/>
          </w:tcPr>
          <w:p w14:paraId="3169F1BB">
            <w:pPr>
              <w:rPr>
                <w:color w:val="auto"/>
                <w:highlight w:val="none"/>
              </w:rPr>
            </w:pPr>
          </w:p>
        </w:tc>
        <w:tc>
          <w:tcPr>
            <w:tcW w:w="748" w:type="pct"/>
            <w:vMerge w:val="continue"/>
            <w:tcBorders>
              <w:tl2br w:val="nil"/>
              <w:tr2bl w:val="nil"/>
            </w:tcBorders>
            <w:noWrap/>
            <w:vAlign w:val="center"/>
          </w:tcPr>
          <w:p w14:paraId="5AD9280A">
            <w:pPr>
              <w:rPr>
                <w:color w:val="auto"/>
                <w:highlight w:val="none"/>
              </w:rPr>
            </w:pPr>
          </w:p>
        </w:tc>
        <w:tc>
          <w:tcPr>
            <w:tcW w:w="318" w:type="pct"/>
            <w:vMerge w:val="continue"/>
            <w:tcBorders>
              <w:tl2br w:val="nil"/>
              <w:tr2bl w:val="nil"/>
            </w:tcBorders>
            <w:noWrap/>
            <w:vAlign w:val="center"/>
          </w:tcPr>
          <w:p w14:paraId="073D8E63">
            <w:pPr>
              <w:rPr>
                <w:color w:val="auto"/>
                <w:highlight w:val="none"/>
              </w:rPr>
            </w:pPr>
          </w:p>
        </w:tc>
        <w:tc>
          <w:tcPr>
            <w:tcW w:w="3603" w:type="pct"/>
            <w:tcBorders>
              <w:tl2br w:val="nil"/>
              <w:tr2bl w:val="nil"/>
            </w:tcBorders>
            <w:noWrap/>
            <w:vAlign w:val="center"/>
          </w:tcPr>
          <w:p w14:paraId="797C24C5">
            <w:pPr>
              <w:widowControl/>
              <w:spacing w:beforeAutospacing="0" w:afterAutospacing="0"/>
              <w:jc w:val="both"/>
              <w:rPr>
                <w:rFonts w:hint="eastAsia"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Times New Roman"/>
                <w:color w:val="auto"/>
                <w:kern w:val="0"/>
                <w:sz w:val="22"/>
                <w:szCs w:val="22"/>
                <w:highlight w:val="none"/>
                <w:shd w:val="clear" w:color="auto" w:fill="FFFFFF"/>
                <w:lang w:val="en-US" w:eastAsia="zh-CN" w:bidi="ar-SA"/>
              </w:rPr>
              <w:t>投标人对</w:t>
            </w:r>
            <w:r>
              <w:rPr>
                <w:rFonts w:hint="eastAsia" w:ascii="宋体" w:hAnsi="宋体" w:eastAsia="宋体" w:cs="宋体"/>
                <w:color w:val="auto"/>
                <w:sz w:val="22"/>
                <w:szCs w:val="22"/>
                <w:highlight w:val="none"/>
              </w:rPr>
              <w:t>绿化带保洁与中转站保洁方案：作业计划、排班情况、操作可行性等</w:t>
            </w:r>
            <w:r>
              <w:rPr>
                <w:rFonts w:hint="eastAsia" w:ascii="宋体" w:hAnsi="宋体" w:eastAsia="宋体" w:cs="Times New Roman"/>
                <w:color w:val="auto"/>
                <w:kern w:val="0"/>
                <w:sz w:val="22"/>
                <w:szCs w:val="22"/>
                <w:highlight w:val="none"/>
                <w:shd w:val="clear" w:color="auto" w:fill="FFFFFF"/>
                <w:lang w:val="en-US" w:eastAsia="zh-CN" w:bidi="ar-SA"/>
              </w:rPr>
              <w:t>。本项最高得5分。</w:t>
            </w:r>
            <w:r>
              <w:rPr>
                <w:rFonts w:hint="eastAsia" w:ascii="宋体" w:hAnsi="宋体" w:eastAsia="宋体" w:cs="Times New Roman"/>
                <w:color w:val="auto"/>
                <w:kern w:val="0"/>
                <w:sz w:val="22"/>
                <w:szCs w:val="22"/>
                <w:highlight w:val="none"/>
                <w:shd w:val="clear" w:color="auto" w:fill="FFFFFF"/>
                <w:lang w:val="en-US" w:eastAsia="zh-CN" w:bidi="ar-SA"/>
              </w:rPr>
              <w:br w:type="textWrapping"/>
            </w:r>
            <w:r>
              <w:rPr>
                <w:rFonts w:hint="eastAsia" w:ascii="宋体" w:hAnsi="宋体" w:eastAsia="宋体" w:cs="Times New Roman"/>
                <w:color w:val="auto"/>
                <w:kern w:val="0"/>
                <w:sz w:val="22"/>
                <w:szCs w:val="22"/>
                <w:highlight w:val="none"/>
                <w:shd w:val="clear" w:color="auto" w:fill="FFFFFF"/>
                <w:lang w:val="en-US" w:eastAsia="zh-CN" w:bidi="ar-SA"/>
              </w:rPr>
              <w:t>评分范围（5,4,3,2,1,0）</w:t>
            </w:r>
          </w:p>
        </w:tc>
      </w:tr>
      <w:tr w14:paraId="643F24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92" w:hRule="atLeast"/>
          <w:jc w:val="center"/>
        </w:trPr>
        <w:tc>
          <w:tcPr>
            <w:tcW w:w="329" w:type="pct"/>
            <w:vMerge w:val="continue"/>
            <w:tcBorders>
              <w:tl2br w:val="nil"/>
              <w:tr2bl w:val="nil"/>
            </w:tcBorders>
            <w:noWrap/>
            <w:vAlign w:val="center"/>
          </w:tcPr>
          <w:p w14:paraId="37508887">
            <w:pPr>
              <w:rPr>
                <w:color w:val="auto"/>
                <w:highlight w:val="none"/>
              </w:rPr>
            </w:pPr>
          </w:p>
        </w:tc>
        <w:tc>
          <w:tcPr>
            <w:tcW w:w="748" w:type="pct"/>
            <w:vMerge w:val="continue"/>
            <w:tcBorders>
              <w:tl2br w:val="nil"/>
              <w:tr2bl w:val="nil"/>
            </w:tcBorders>
            <w:noWrap/>
            <w:vAlign w:val="center"/>
          </w:tcPr>
          <w:p w14:paraId="361909C2">
            <w:pPr>
              <w:rPr>
                <w:color w:val="auto"/>
                <w:highlight w:val="none"/>
              </w:rPr>
            </w:pPr>
          </w:p>
        </w:tc>
        <w:tc>
          <w:tcPr>
            <w:tcW w:w="318" w:type="pct"/>
            <w:vMerge w:val="continue"/>
            <w:tcBorders>
              <w:tl2br w:val="nil"/>
              <w:tr2bl w:val="nil"/>
            </w:tcBorders>
            <w:noWrap/>
            <w:vAlign w:val="center"/>
          </w:tcPr>
          <w:p w14:paraId="74D89CDE">
            <w:pPr>
              <w:rPr>
                <w:color w:val="auto"/>
                <w:highlight w:val="none"/>
              </w:rPr>
            </w:pPr>
          </w:p>
        </w:tc>
        <w:tc>
          <w:tcPr>
            <w:tcW w:w="3603" w:type="pct"/>
            <w:tcBorders>
              <w:tl2br w:val="nil"/>
              <w:tr2bl w:val="nil"/>
            </w:tcBorders>
            <w:noWrap/>
            <w:vAlign w:val="center"/>
          </w:tcPr>
          <w:p w14:paraId="42188ADE">
            <w:pPr>
              <w:widowControl/>
              <w:spacing w:beforeAutospacing="0" w:afterAutospacing="0"/>
              <w:jc w:val="both"/>
              <w:rPr>
                <w:rFonts w:hint="eastAsia" w:ascii="宋体" w:hAnsi="宋体" w:eastAsia="宋体" w:cs="Times New Roman"/>
                <w:color w:val="auto"/>
                <w:kern w:val="0"/>
                <w:sz w:val="22"/>
                <w:szCs w:val="22"/>
                <w:highlight w:val="none"/>
                <w:shd w:val="clear" w:color="auto" w:fill="FFFFFF"/>
                <w:lang w:val="en-US" w:eastAsia="zh-CN" w:bidi="ar-SA"/>
              </w:rPr>
            </w:pPr>
            <w:r>
              <w:rPr>
                <w:rFonts w:hint="eastAsia" w:ascii="宋体" w:hAnsi="宋体" w:eastAsia="宋体" w:cs="宋体"/>
                <w:color w:val="auto"/>
                <w:sz w:val="22"/>
                <w:szCs w:val="22"/>
                <w:highlight w:val="none"/>
              </w:rPr>
              <w:t>阴沟及保洁方案及“牛皮癣”解决措施：作业计划、排班情况、操作可行性等</w:t>
            </w:r>
            <w:r>
              <w:rPr>
                <w:rFonts w:hint="eastAsia" w:ascii="宋体" w:hAnsi="宋体" w:eastAsia="宋体" w:cs="Times New Roman"/>
                <w:color w:val="auto"/>
                <w:kern w:val="0"/>
                <w:sz w:val="22"/>
                <w:szCs w:val="22"/>
                <w:highlight w:val="none"/>
                <w:shd w:val="clear" w:color="auto" w:fill="FFFFFF"/>
                <w:lang w:val="en-US" w:eastAsia="zh-CN" w:bidi="ar-SA"/>
              </w:rPr>
              <w:t>。本项最高得5分。</w:t>
            </w:r>
            <w:r>
              <w:rPr>
                <w:rFonts w:hint="eastAsia" w:ascii="宋体" w:hAnsi="宋体" w:eastAsia="宋体" w:cs="Times New Roman"/>
                <w:color w:val="auto"/>
                <w:kern w:val="0"/>
                <w:sz w:val="22"/>
                <w:szCs w:val="22"/>
                <w:highlight w:val="none"/>
                <w:shd w:val="clear" w:color="auto" w:fill="FFFFFF"/>
                <w:lang w:val="en-US" w:eastAsia="zh-CN" w:bidi="ar-SA"/>
              </w:rPr>
              <w:br w:type="textWrapping"/>
            </w:r>
            <w:r>
              <w:rPr>
                <w:rFonts w:hint="eastAsia" w:ascii="宋体" w:hAnsi="宋体" w:eastAsia="宋体" w:cs="Times New Roman"/>
                <w:color w:val="auto"/>
                <w:kern w:val="0"/>
                <w:sz w:val="22"/>
                <w:szCs w:val="22"/>
                <w:highlight w:val="none"/>
                <w:shd w:val="clear" w:color="auto" w:fill="FFFFFF"/>
                <w:lang w:val="en-US" w:eastAsia="zh-CN" w:bidi="ar-SA"/>
              </w:rPr>
              <w:t>评分范围（5,4,3,2,1,0）</w:t>
            </w:r>
          </w:p>
        </w:tc>
      </w:tr>
      <w:tr w14:paraId="550B49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92" w:hRule="atLeast"/>
          <w:jc w:val="center"/>
        </w:trPr>
        <w:tc>
          <w:tcPr>
            <w:tcW w:w="329" w:type="pct"/>
            <w:tcBorders>
              <w:tl2br w:val="nil"/>
              <w:tr2bl w:val="nil"/>
            </w:tcBorders>
            <w:noWrap/>
            <w:vAlign w:val="center"/>
          </w:tcPr>
          <w:p w14:paraId="7D21D7E3">
            <w:pPr>
              <w:widowControl/>
              <w:spacing w:beforeAutospacing="0" w:afterAutospacing="0"/>
              <w:jc w:val="center"/>
              <w:rPr>
                <w:rFonts w:ascii="宋体" w:hAnsi="宋体" w:eastAsia="Times New Roman" w:cs="Times New Roman"/>
                <w:color w:val="auto"/>
                <w:kern w:val="0"/>
                <w:sz w:val="22"/>
                <w:szCs w:val="22"/>
                <w:highlight w:val="none"/>
                <w:shd w:val="clear" w:color="auto" w:fill="FFFFFF"/>
                <w:lang w:val="en-US" w:eastAsia="zh-CN" w:bidi="ar-SA"/>
              </w:rPr>
            </w:pPr>
            <w:r>
              <w:rPr>
                <w:rFonts w:hint="eastAsia" w:ascii="宋体" w:hAnsi="宋体" w:eastAsia="Times New Roman" w:cs="Times New Roman"/>
                <w:color w:val="auto"/>
                <w:kern w:val="0"/>
                <w:sz w:val="22"/>
                <w:szCs w:val="22"/>
                <w:highlight w:val="none"/>
                <w:shd w:val="clear" w:color="auto" w:fill="FFFFFF"/>
                <w:lang w:val="en-US" w:eastAsia="zh-CN" w:bidi="ar-SA"/>
              </w:rPr>
              <w:t>7</w:t>
            </w:r>
          </w:p>
        </w:tc>
        <w:tc>
          <w:tcPr>
            <w:tcW w:w="748" w:type="pct"/>
            <w:tcBorders>
              <w:tl2br w:val="nil"/>
              <w:tr2bl w:val="nil"/>
            </w:tcBorders>
            <w:noWrap/>
            <w:vAlign w:val="center"/>
          </w:tcPr>
          <w:p w14:paraId="2630A2C3">
            <w:pPr>
              <w:widowControl/>
              <w:spacing w:beforeAutospacing="0" w:afterAutospacing="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垃圾分类方案</w:t>
            </w:r>
          </w:p>
        </w:tc>
        <w:tc>
          <w:tcPr>
            <w:tcW w:w="318" w:type="pct"/>
            <w:tcBorders>
              <w:tl2br w:val="nil"/>
              <w:tr2bl w:val="nil"/>
            </w:tcBorders>
            <w:noWrap/>
            <w:vAlign w:val="center"/>
          </w:tcPr>
          <w:p w14:paraId="7E6709A4">
            <w:pPr>
              <w:widowControl/>
              <w:spacing w:beforeAutospacing="0" w:afterAutospacing="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3603" w:type="pct"/>
            <w:tcBorders>
              <w:tl2br w:val="nil"/>
              <w:tr2bl w:val="nil"/>
            </w:tcBorders>
            <w:noWrap/>
          </w:tcPr>
          <w:p w14:paraId="3872145D">
            <w:pPr>
              <w:widowControl/>
              <w:spacing w:beforeAutospacing="0" w:afterAutospacing="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依据投标单位提供的垃圾分类及具体实施方案评分，方案合理、贴合项目需求</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lang w:val="en-US" w:eastAsia="zh-CN"/>
              </w:rPr>
              <w:t>本项最高得5分。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评分范围（5,4,3,2,1,0）</w:t>
            </w:r>
          </w:p>
        </w:tc>
      </w:tr>
      <w:tr w14:paraId="4E127B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92" w:hRule="atLeast"/>
          <w:jc w:val="center"/>
        </w:trPr>
        <w:tc>
          <w:tcPr>
            <w:tcW w:w="329" w:type="pct"/>
            <w:tcBorders>
              <w:tl2br w:val="nil"/>
              <w:tr2bl w:val="nil"/>
            </w:tcBorders>
            <w:noWrap/>
            <w:vAlign w:val="center"/>
          </w:tcPr>
          <w:p w14:paraId="7D8797BD">
            <w:pPr>
              <w:widowControl/>
              <w:spacing w:beforeAutospacing="0" w:afterAutospacing="0"/>
              <w:jc w:val="center"/>
              <w:rPr>
                <w:rFonts w:hint="default" w:ascii="宋体" w:hAnsi="宋体" w:eastAsia="Times New Roman" w:cs="Times New Roman"/>
                <w:color w:val="auto"/>
                <w:kern w:val="0"/>
                <w:sz w:val="22"/>
                <w:szCs w:val="22"/>
                <w:highlight w:val="none"/>
                <w:shd w:val="clear" w:color="auto" w:fill="FFFFFF"/>
                <w:lang w:val="en-US" w:eastAsia="zh-CN" w:bidi="ar-SA"/>
              </w:rPr>
            </w:pPr>
            <w:r>
              <w:rPr>
                <w:rFonts w:hint="eastAsia" w:ascii="宋体" w:hAnsi="宋体" w:eastAsia="Times New Roman" w:cs="Times New Roman"/>
                <w:color w:val="auto"/>
                <w:kern w:val="0"/>
                <w:sz w:val="22"/>
                <w:szCs w:val="22"/>
                <w:highlight w:val="none"/>
                <w:shd w:val="clear" w:color="auto" w:fill="FFFFFF"/>
                <w:lang w:val="en-US" w:eastAsia="zh-CN" w:bidi="ar-SA"/>
              </w:rPr>
              <w:t>8</w:t>
            </w:r>
          </w:p>
        </w:tc>
        <w:tc>
          <w:tcPr>
            <w:tcW w:w="748" w:type="pct"/>
            <w:tcBorders>
              <w:tl2br w:val="nil"/>
              <w:tr2bl w:val="nil"/>
            </w:tcBorders>
            <w:noWrap/>
            <w:vAlign w:val="center"/>
          </w:tcPr>
          <w:p w14:paraId="125ED00B">
            <w:pPr>
              <w:widowControl/>
              <w:spacing w:beforeAutospacing="0" w:afterAutospacing="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对本项目道路清扫保洁工作的现状调查与问题剖析</w:t>
            </w:r>
          </w:p>
        </w:tc>
        <w:tc>
          <w:tcPr>
            <w:tcW w:w="318" w:type="pct"/>
            <w:tcBorders>
              <w:tl2br w:val="nil"/>
              <w:tr2bl w:val="nil"/>
            </w:tcBorders>
            <w:noWrap/>
            <w:vAlign w:val="center"/>
          </w:tcPr>
          <w:p w14:paraId="2ADD4477">
            <w:pPr>
              <w:widowControl/>
              <w:spacing w:beforeAutospacing="0" w:afterAutospacing="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3603" w:type="pct"/>
            <w:tcBorders>
              <w:tl2br w:val="nil"/>
              <w:tr2bl w:val="nil"/>
            </w:tcBorders>
            <w:noWrap/>
          </w:tcPr>
          <w:p w14:paraId="7C57CFD3">
            <w:pPr>
              <w:widowControl/>
              <w:spacing w:beforeAutospacing="0" w:afterAutospacing="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根据中标单位对项目范围内道路的现状、保洁情况、存在的问题和清扫保洁的难点、要点等问题进行调查剖析，并</w:t>
            </w:r>
            <w:r>
              <w:rPr>
                <w:rFonts w:hint="eastAsia" w:ascii="宋体" w:hAnsi="宋体" w:cs="宋体"/>
                <w:color w:val="auto"/>
                <w:sz w:val="22"/>
                <w:szCs w:val="22"/>
                <w:highlight w:val="none"/>
                <w:lang w:eastAsia="zh-CN"/>
              </w:rPr>
              <w:t>针对性地提出</w:t>
            </w:r>
            <w:r>
              <w:rPr>
                <w:rFonts w:hint="eastAsia" w:ascii="宋体" w:hAnsi="宋体" w:eastAsia="宋体" w:cs="宋体"/>
                <w:color w:val="auto"/>
                <w:sz w:val="22"/>
                <w:szCs w:val="22"/>
                <w:highlight w:val="none"/>
              </w:rPr>
              <w:t>克服难点和要点。</w:t>
            </w:r>
            <w:r>
              <w:rPr>
                <w:rFonts w:hint="eastAsia" w:ascii="宋体" w:hAnsi="宋体" w:eastAsia="宋体" w:cs="宋体"/>
                <w:color w:val="auto"/>
                <w:sz w:val="22"/>
                <w:szCs w:val="22"/>
                <w:highlight w:val="none"/>
                <w:lang w:val="en-US" w:eastAsia="zh-CN"/>
              </w:rPr>
              <w:t>项最高得4分。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评分范围（4,,3,2,1,0）</w:t>
            </w:r>
          </w:p>
        </w:tc>
      </w:tr>
      <w:tr w14:paraId="63D4B7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75" w:hRule="atLeast"/>
          <w:jc w:val="center"/>
        </w:trPr>
        <w:tc>
          <w:tcPr>
            <w:tcW w:w="329" w:type="pct"/>
            <w:tcBorders>
              <w:tl2br w:val="nil"/>
              <w:tr2bl w:val="nil"/>
            </w:tcBorders>
            <w:noWrap/>
            <w:vAlign w:val="center"/>
          </w:tcPr>
          <w:p w14:paraId="48EB0152">
            <w:pPr>
              <w:widowControl/>
              <w:spacing w:beforeAutospacing="0" w:afterAutospacing="0"/>
              <w:jc w:val="center"/>
              <w:rPr>
                <w:rFonts w:ascii="宋体" w:hAnsi="宋体" w:eastAsia="Times New Roman" w:cs="Times New Roman"/>
                <w:color w:val="auto"/>
                <w:kern w:val="0"/>
                <w:sz w:val="22"/>
                <w:szCs w:val="22"/>
                <w:highlight w:val="none"/>
                <w:shd w:val="clear" w:color="auto" w:fill="FFFFFF"/>
                <w:lang w:val="en-US" w:eastAsia="zh-CN" w:bidi="ar-SA"/>
              </w:rPr>
            </w:pPr>
            <w:r>
              <w:rPr>
                <w:rFonts w:hint="eastAsia" w:ascii="宋体" w:hAnsi="宋体" w:eastAsia="Times New Roman" w:cs="Times New Roman"/>
                <w:color w:val="auto"/>
                <w:kern w:val="0"/>
                <w:sz w:val="22"/>
                <w:szCs w:val="22"/>
                <w:highlight w:val="none"/>
                <w:shd w:val="clear" w:color="auto" w:fill="FFFFFF"/>
                <w:lang w:val="en-US" w:eastAsia="zh-CN" w:bidi="ar-SA"/>
              </w:rPr>
              <w:t>9</w:t>
            </w:r>
          </w:p>
        </w:tc>
        <w:tc>
          <w:tcPr>
            <w:tcW w:w="748" w:type="pct"/>
            <w:tcBorders>
              <w:tl2br w:val="nil"/>
              <w:tr2bl w:val="nil"/>
            </w:tcBorders>
            <w:noWrap/>
            <w:vAlign w:val="center"/>
          </w:tcPr>
          <w:p w14:paraId="4A1F4858">
            <w:pPr>
              <w:widowControl/>
              <w:spacing w:beforeAutospacing="0" w:afterAutospacing="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安全保障方案及措施</w:t>
            </w:r>
          </w:p>
        </w:tc>
        <w:tc>
          <w:tcPr>
            <w:tcW w:w="318" w:type="pct"/>
            <w:tcBorders>
              <w:tl2br w:val="nil"/>
              <w:tr2bl w:val="nil"/>
            </w:tcBorders>
            <w:noWrap/>
            <w:vAlign w:val="center"/>
          </w:tcPr>
          <w:p w14:paraId="679200C2">
            <w:pPr>
              <w:widowControl/>
              <w:spacing w:beforeAutospacing="0" w:afterAutospacing="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3603" w:type="pct"/>
            <w:tcBorders>
              <w:tl2br w:val="nil"/>
              <w:tr2bl w:val="nil"/>
            </w:tcBorders>
            <w:noWrap/>
            <w:vAlign w:val="center"/>
          </w:tcPr>
          <w:p w14:paraId="591EB525">
            <w:pPr>
              <w:widowControl/>
              <w:spacing w:beforeAutospacing="0" w:afterAutospacing="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根据投标单位提供的安全保障方案及措施进行打分。</w:t>
            </w:r>
            <w:r>
              <w:rPr>
                <w:rFonts w:hint="eastAsia" w:ascii="宋体" w:hAnsi="宋体" w:eastAsia="宋体" w:cs="宋体"/>
                <w:color w:val="auto"/>
                <w:sz w:val="22"/>
                <w:szCs w:val="22"/>
                <w:highlight w:val="none"/>
                <w:lang w:val="en-US" w:eastAsia="zh-CN"/>
              </w:rPr>
              <w:t>本项最高得5分。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评分范围（5,4,3,2,1,0）</w:t>
            </w:r>
          </w:p>
        </w:tc>
      </w:tr>
      <w:tr w14:paraId="03EEBE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41" w:hRule="atLeast"/>
          <w:jc w:val="center"/>
        </w:trPr>
        <w:tc>
          <w:tcPr>
            <w:tcW w:w="329" w:type="pct"/>
            <w:tcBorders>
              <w:tl2br w:val="nil"/>
              <w:tr2bl w:val="nil"/>
            </w:tcBorders>
            <w:noWrap/>
            <w:vAlign w:val="center"/>
          </w:tcPr>
          <w:p w14:paraId="1E247701">
            <w:pPr>
              <w:widowControl/>
              <w:spacing w:beforeAutospacing="0" w:afterAutospacing="0"/>
              <w:jc w:val="center"/>
              <w:rPr>
                <w:rFonts w:hint="default" w:ascii="宋体" w:hAnsi="宋体" w:eastAsia="Times New Roman" w:cs="Times New Roman"/>
                <w:color w:val="auto"/>
                <w:kern w:val="0"/>
                <w:sz w:val="22"/>
                <w:szCs w:val="22"/>
                <w:highlight w:val="none"/>
                <w:shd w:val="clear" w:color="auto" w:fill="FFFFFF"/>
                <w:lang w:val="en-US" w:eastAsia="zh-CN" w:bidi="ar-SA"/>
              </w:rPr>
            </w:pPr>
            <w:r>
              <w:rPr>
                <w:rFonts w:hint="eastAsia" w:ascii="宋体" w:hAnsi="宋体" w:cs="宋体"/>
                <w:color w:val="auto"/>
                <w:sz w:val="22"/>
                <w:szCs w:val="22"/>
                <w:highlight w:val="none"/>
                <w:lang w:val="en-US" w:eastAsia="zh-CN"/>
              </w:rPr>
              <w:t>10</w:t>
            </w:r>
          </w:p>
        </w:tc>
        <w:tc>
          <w:tcPr>
            <w:tcW w:w="748" w:type="pct"/>
            <w:tcBorders>
              <w:tl2br w:val="nil"/>
              <w:tr2bl w:val="nil"/>
            </w:tcBorders>
            <w:noWrap/>
            <w:vAlign w:val="center"/>
          </w:tcPr>
          <w:p w14:paraId="5C148C42">
            <w:pPr>
              <w:widowControl/>
              <w:spacing w:beforeAutospacing="0" w:afterAutospacing="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特殊作业响应及处理预案</w:t>
            </w:r>
          </w:p>
        </w:tc>
        <w:tc>
          <w:tcPr>
            <w:tcW w:w="318" w:type="pct"/>
            <w:tcBorders>
              <w:tl2br w:val="nil"/>
              <w:tr2bl w:val="nil"/>
            </w:tcBorders>
            <w:noWrap/>
            <w:vAlign w:val="center"/>
          </w:tcPr>
          <w:p w14:paraId="7FAF3229">
            <w:pPr>
              <w:widowControl/>
              <w:spacing w:beforeAutospacing="0" w:afterAutospacing="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3603" w:type="pct"/>
            <w:tcBorders>
              <w:tl2br w:val="nil"/>
              <w:tr2bl w:val="nil"/>
            </w:tcBorders>
            <w:noWrap/>
            <w:vAlign w:val="center"/>
          </w:tcPr>
          <w:p w14:paraId="5F702C4A">
            <w:pPr>
              <w:widowControl/>
              <w:spacing w:beforeAutospacing="0" w:afterAutospacing="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针对应急（抗雪防冻、防台防汛、高温防暑）、突发事件处理预案</w:t>
            </w:r>
            <w:r>
              <w:rPr>
                <w:rFonts w:hint="eastAsia" w:ascii="宋体" w:hAnsi="宋体" w:cs="宋体"/>
                <w:color w:val="auto"/>
                <w:sz w:val="22"/>
                <w:szCs w:val="22"/>
                <w:highlight w:val="none"/>
                <w:lang w:eastAsia="zh-CN"/>
              </w:rPr>
              <w:t>，以</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重大节日与活动具体作业实施方案</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本项最高得5分。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评分范围（5,4,3,2,1,0）</w:t>
            </w:r>
          </w:p>
        </w:tc>
      </w:tr>
      <w:tr w14:paraId="0C6D82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17" w:hRule="atLeast"/>
          <w:jc w:val="center"/>
        </w:trPr>
        <w:tc>
          <w:tcPr>
            <w:tcW w:w="329" w:type="pct"/>
            <w:vMerge w:val="restart"/>
            <w:tcBorders>
              <w:tl2br w:val="nil"/>
              <w:tr2bl w:val="nil"/>
            </w:tcBorders>
            <w:noWrap/>
            <w:vAlign w:val="center"/>
          </w:tcPr>
          <w:p w14:paraId="3309769A">
            <w:pPr>
              <w:widowControl/>
              <w:spacing w:beforeAutospacing="0" w:afterAutospacing="0"/>
              <w:jc w:val="center"/>
              <w:rPr>
                <w:rFonts w:hint="default" w:ascii="宋体" w:hAnsi="宋体" w:eastAsia="Times New Roman" w:cs="Times New Roman"/>
                <w:color w:val="auto"/>
                <w:kern w:val="0"/>
                <w:sz w:val="22"/>
                <w:szCs w:val="22"/>
                <w:highlight w:val="none"/>
                <w:shd w:val="clear" w:color="auto" w:fill="FFFFFF"/>
                <w:lang w:val="en-US" w:eastAsia="zh-CN" w:bidi="ar-SA"/>
              </w:rPr>
            </w:pPr>
            <w:r>
              <w:rPr>
                <w:rFonts w:hint="eastAsia" w:ascii="宋体" w:hAnsi="宋体" w:cs="宋体"/>
                <w:color w:val="auto"/>
                <w:sz w:val="22"/>
                <w:szCs w:val="22"/>
                <w:highlight w:val="none"/>
                <w:lang w:val="en-US" w:eastAsia="zh-CN"/>
              </w:rPr>
              <w:t>11</w:t>
            </w:r>
          </w:p>
        </w:tc>
        <w:tc>
          <w:tcPr>
            <w:tcW w:w="748" w:type="pct"/>
            <w:vMerge w:val="restart"/>
            <w:tcBorders>
              <w:tl2br w:val="nil"/>
              <w:tr2bl w:val="nil"/>
            </w:tcBorders>
            <w:noWrap/>
            <w:vAlign w:val="center"/>
          </w:tcPr>
          <w:p w14:paraId="0210A831">
            <w:pPr>
              <w:widowControl/>
              <w:spacing w:beforeAutospacing="0" w:afterAutospacing="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拟投入设备</w:t>
            </w:r>
          </w:p>
        </w:tc>
        <w:tc>
          <w:tcPr>
            <w:tcW w:w="318" w:type="pct"/>
            <w:vMerge w:val="restart"/>
            <w:tcBorders>
              <w:tl2br w:val="nil"/>
              <w:tr2bl w:val="nil"/>
            </w:tcBorders>
            <w:noWrap/>
            <w:vAlign w:val="center"/>
          </w:tcPr>
          <w:p w14:paraId="2150FC34">
            <w:pPr>
              <w:widowControl/>
              <w:spacing w:beforeAutospacing="0" w:afterAutospacing="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w:t>
            </w:r>
          </w:p>
        </w:tc>
        <w:tc>
          <w:tcPr>
            <w:tcW w:w="3603" w:type="pct"/>
            <w:tcBorders>
              <w:tl2br w:val="nil"/>
              <w:tr2bl w:val="nil"/>
            </w:tcBorders>
            <w:noWrap/>
            <w:vAlign w:val="center"/>
          </w:tcPr>
          <w:p w14:paraId="150F3797">
            <w:pPr>
              <w:widowControl/>
              <w:spacing w:beforeAutospacing="0" w:afterAutospacing="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根据投标供应商针对本项目的实际情况和特点，提供的车辆、作业工具、材料配置等设备配备方案的合理性、科学性等方面</w:t>
            </w:r>
            <w:r>
              <w:rPr>
                <w:rFonts w:hint="eastAsia" w:ascii="宋体" w:hAnsi="宋体" w:eastAsia="宋体" w:cs="宋体"/>
                <w:color w:val="auto"/>
                <w:sz w:val="22"/>
                <w:szCs w:val="22"/>
                <w:highlight w:val="none"/>
                <w:lang w:val="en-US" w:eastAsia="zh-CN"/>
              </w:rPr>
              <w:t>进行打分。本项最高得8分。</w:t>
            </w:r>
          </w:p>
          <w:p w14:paraId="704EE0A4">
            <w:pPr>
              <w:widowControl/>
              <w:spacing w:beforeAutospacing="0" w:afterAutospacing="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方案详细合理，有针对性，可操作性强的得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方案比较详细合理，有一定针对性，可操作性较强的得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方案</w:t>
            </w:r>
            <w:r>
              <w:rPr>
                <w:rFonts w:hint="eastAsia" w:ascii="宋体" w:hAnsi="宋体" w:eastAsia="宋体" w:cs="宋体"/>
                <w:color w:val="auto"/>
                <w:sz w:val="22"/>
                <w:szCs w:val="22"/>
                <w:highlight w:val="none"/>
                <w:lang w:val="en-US" w:eastAsia="zh-CN"/>
              </w:rPr>
              <w:t>基本</w:t>
            </w:r>
            <w:r>
              <w:rPr>
                <w:rFonts w:hint="eastAsia" w:ascii="宋体" w:hAnsi="宋体" w:eastAsia="宋体" w:cs="宋体"/>
                <w:color w:val="auto"/>
                <w:sz w:val="22"/>
                <w:szCs w:val="22"/>
                <w:highlight w:val="none"/>
              </w:rPr>
              <w:t>详细合理，</w:t>
            </w:r>
            <w:r>
              <w:rPr>
                <w:rFonts w:hint="eastAsia" w:ascii="宋体" w:hAnsi="宋体" w:eastAsia="宋体" w:cs="宋体"/>
                <w:color w:val="auto"/>
                <w:sz w:val="22"/>
                <w:szCs w:val="22"/>
                <w:highlight w:val="none"/>
                <w:lang w:val="en-US" w:eastAsia="zh-CN"/>
              </w:rPr>
              <w:t>有</w:t>
            </w:r>
            <w:r>
              <w:rPr>
                <w:rFonts w:hint="eastAsia" w:ascii="宋体" w:hAnsi="宋体" w:eastAsia="宋体" w:cs="宋体"/>
                <w:color w:val="auto"/>
                <w:sz w:val="22"/>
                <w:szCs w:val="22"/>
                <w:highlight w:val="none"/>
              </w:rPr>
              <w:t>针对性，</w:t>
            </w:r>
            <w:r>
              <w:rPr>
                <w:rFonts w:hint="eastAsia" w:ascii="宋体" w:hAnsi="宋体" w:eastAsia="宋体" w:cs="宋体"/>
                <w:color w:val="auto"/>
                <w:sz w:val="22"/>
                <w:szCs w:val="22"/>
                <w:highlight w:val="none"/>
                <w:lang w:val="en-US" w:eastAsia="zh-CN"/>
              </w:rPr>
              <w:t>有一定</w:t>
            </w:r>
            <w:r>
              <w:rPr>
                <w:rFonts w:hint="eastAsia" w:ascii="宋体" w:hAnsi="宋体" w:eastAsia="宋体" w:cs="宋体"/>
                <w:color w:val="auto"/>
                <w:sz w:val="22"/>
                <w:szCs w:val="22"/>
                <w:highlight w:val="none"/>
              </w:rPr>
              <w:t>可操作性的得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方案仅部分合理，</w:t>
            </w:r>
            <w:r>
              <w:rPr>
                <w:rFonts w:hint="eastAsia" w:ascii="宋体" w:hAnsi="宋体" w:eastAsia="宋体" w:cs="宋体"/>
                <w:color w:val="auto"/>
                <w:sz w:val="22"/>
                <w:szCs w:val="22"/>
                <w:highlight w:val="none"/>
                <w:lang w:eastAsia="zh-CN"/>
              </w:rPr>
              <w:t>无针对性</w:t>
            </w:r>
            <w:r>
              <w:rPr>
                <w:rFonts w:hint="eastAsia" w:ascii="宋体" w:hAnsi="宋体" w:eastAsia="宋体" w:cs="宋体"/>
                <w:color w:val="auto"/>
                <w:sz w:val="22"/>
                <w:szCs w:val="22"/>
                <w:highlight w:val="none"/>
              </w:rPr>
              <w:t>，可操作性较差的得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本项未提供不得分。</w:t>
            </w:r>
          </w:p>
        </w:tc>
      </w:tr>
      <w:tr w14:paraId="026A56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17" w:hRule="atLeast"/>
          <w:jc w:val="center"/>
        </w:trPr>
        <w:tc>
          <w:tcPr>
            <w:tcW w:w="329" w:type="pct"/>
            <w:vMerge w:val="continue"/>
            <w:tcBorders>
              <w:tl2br w:val="nil"/>
              <w:tr2bl w:val="nil"/>
            </w:tcBorders>
            <w:noWrap/>
            <w:vAlign w:val="center"/>
          </w:tcPr>
          <w:p w14:paraId="2A0DF504">
            <w:pPr>
              <w:jc w:val="left"/>
              <w:rPr>
                <w:color w:val="auto"/>
                <w:highlight w:val="none"/>
              </w:rPr>
            </w:pPr>
          </w:p>
        </w:tc>
        <w:tc>
          <w:tcPr>
            <w:tcW w:w="748" w:type="pct"/>
            <w:vMerge w:val="continue"/>
            <w:tcBorders>
              <w:tl2br w:val="nil"/>
              <w:tr2bl w:val="nil"/>
            </w:tcBorders>
            <w:noWrap/>
            <w:vAlign w:val="center"/>
          </w:tcPr>
          <w:p w14:paraId="7FD4E91A">
            <w:pPr>
              <w:widowControl/>
              <w:spacing w:beforeAutospacing="0" w:afterAutospacing="0"/>
              <w:jc w:val="left"/>
              <w:rPr>
                <w:rFonts w:hint="eastAsia" w:ascii="宋体" w:hAnsi="宋体" w:eastAsia="宋体" w:cs="宋体"/>
                <w:color w:val="auto"/>
                <w:sz w:val="22"/>
                <w:szCs w:val="22"/>
                <w:highlight w:val="none"/>
              </w:rPr>
            </w:pPr>
          </w:p>
        </w:tc>
        <w:tc>
          <w:tcPr>
            <w:tcW w:w="318" w:type="pct"/>
            <w:vMerge w:val="continue"/>
            <w:tcBorders>
              <w:tl2br w:val="nil"/>
              <w:tr2bl w:val="nil"/>
            </w:tcBorders>
            <w:noWrap/>
            <w:vAlign w:val="center"/>
          </w:tcPr>
          <w:p w14:paraId="1D65EF95">
            <w:pPr>
              <w:widowControl/>
              <w:spacing w:beforeAutospacing="0" w:afterAutospacing="0"/>
              <w:jc w:val="left"/>
              <w:rPr>
                <w:rFonts w:hint="eastAsia" w:ascii="宋体" w:hAnsi="宋体" w:eastAsia="宋体" w:cs="宋体"/>
                <w:color w:val="auto"/>
                <w:sz w:val="22"/>
                <w:szCs w:val="22"/>
                <w:highlight w:val="none"/>
              </w:rPr>
            </w:pPr>
          </w:p>
        </w:tc>
        <w:tc>
          <w:tcPr>
            <w:tcW w:w="3603" w:type="pct"/>
            <w:tcBorders>
              <w:tl2br w:val="nil"/>
              <w:tr2bl w:val="nil"/>
            </w:tcBorders>
            <w:noWrap/>
            <w:vAlign w:val="center"/>
          </w:tcPr>
          <w:p w14:paraId="2E722831">
            <w:pPr>
              <w:widowControl/>
              <w:spacing w:beforeAutospacing="0" w:afterAutospacing="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供应商具有环卫应用相关的平台得2分；具备智慧环卫相关的环卫</w:t>
            </w:r>
            <w:r>
              <w:rPr>
                <w:rFonts w:hint="eastAsia" w:ascii="宋体" w:hAnsi="宋体" w:eastAsia="宋体" w:cs="宋体"/>
                <w:color w:val="auto"/>
                <w:sz w:val="22"/>
                <w:szCs w:val="22"/>
                <w:highlight w:val="none"/>
                <w:lang w:val="en-US" w:eastAsia="zh-CN"/>
              </w:rPr>
              <w:t>保洁</w:t>
            </w:r>
            <w:r>
              <w:rPr>
                <w:rFonts w:hint="eastAsia" w:ascii="宋体" w:hAnsi="宋体" w:eastAsia="宋体" w:cs="宋体"/>
                <w:color w:val="auto"/>
                <w:sz w:val="22"/>
                <w:szCs w:val="22"/>
                <w:highlight w:val="none"/>
              </w:rPr>
              <w:t>车辆</w:t>
            </w:r>
            <w:r>
              <w:rPr>
                <w:rFonts w:hint="eastAsia" w:ascii="宋体" w:hAnsi="宋体" w:eastAsia="宋体" w:cs="宋体"/>
                <w:color w:val="auto"/>
                <w:sz w:val="22"/>
                <w:szCs w:val="22"/>
                <w:highlight w:val="none"/>
                <w:lang w:val="en-US" w:eastAsia="zh-CN"/>
              </w:rPr>
              <w:t>管理</w:t>
            </w:r>
            <w:r>
              <w:rPr>
                <w:rFonts w:hint="eastAsia" w:ascii="宋体" w:hAnsi="宋体" w:eastAsia="宋体" w:cs="宋体"/>
                <w:color w:val="auto"/>
                <w:sz w:val="22"/>
                <w:szCs w:val="22"/>
                <w:highlight w:val="none"/>
              </w:rPr>
              <w:t>系统得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分；环卫一体化人员综合能力考核系统</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分；垃圾分类</w:t>
            </w:r>
            <w:r>
              <w:rPr>
                <w:rFonts w:hint="eastAsia" w:ascii="宋体" w:hAnsi="宋体" w:eastAsia="宋体" w:cs="宋体"/>
                <w:color w:val="auto"/>
                <w:sz w:val="22"/>
                <w:szCs w:val="22"/>
                <w:highlight w:val="none"/>
                <w:lang w:val="en-US" w:eastAsia="zh-CN"/>
              </w:rPr>
              <w:t>一体化</w:t>
            </w:r>
            <w:r>
              <w:rPr>
                <w:rFonts w:hint="eastAsia" w:ascii="宋体" w:hAnsi="宋体" w:eastAsia="宋体" w:cs="宋体"/>
                <w:color w:val="auto"/>
                <w:sz w:val="22"/>
                <w:szCs w:val="22"/>
                <w:highlight w:val="none"/>
              </w:rPr>
              <w:t>管理系统得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分；环卫保洁标准化作业流程监管系统得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分。此项最高得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 xml:space="preserve">  </w:t>
            </w:r>
          </w:p>
          <w:p w14:paraId="0C182E70">
            <w:pPr>
              <w:widowControl/>
              <w:spacing w:beforeAutospacing="0" w:afterAutospacing="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val="en-US" w:eastAsia="zh-CN"/>
              </w:rPr>
              <w:t>提供以上软件著作证书原件扫描件并加盖公章。（能基本满足同类要求，名称可不完全一致），若以上软件采用购买/租赁形式的提供以上软件功能截图、软件购买合同/租赁合同及购买/租赁发票。</w:t>
            </w:r>
          </w:p>
        </w:tc>
      </w:tr>
      <w:tr w14:paraId="08EB3B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41" w:hRule="atLeast"/>
          <w:jc w:val="center"/>
        </w:trPr>
        <w:tc>
          <w:tcPr>
            <w:tcW w:w="329" w:type="pct"/>
            <w:tcBorders>
              <w:tl2br w:val="nil"/>
              <w:tr2bl w:val="nil"/>
            </w:tcBorders>
            <w:noWrap/>
            <w:vAlign w:val="center"/>
          </w:tcPr>
          <w:p w14:paraId="3D9BF384">
            <w:pPr>
              <w:widowControl/>
              <w:spacing w:beforeAutospacing="0" w:afterAutospacing="0"/>
              <w:jc w:val="center"/>
              <w:rPr>
                <w:rFonts w:hint="default" w:ascii="宋体" w:hAnsi="宋体" w:eastAsia="Times New Roman" w:cs="Times New Roman"/>
                <w:color w:val="auto"/>
                <w:kern w:val="0"/>
                <w:sz w:val="22"/>
                <w:szCs w:val="22"/>
                <w:highlight w:val="none"/>
                <w:shd w:val="clear" w:color="auto" w:fill="FFFFFF"/>
                <w:lang w:val="en-US" w:eastAsia="zh-CN" w:bidi="ar-SA"/>
              </w:rPr>
            </w:pPr>
            <w:r>
              <w:rPr>
                <w:rFonts w:hint="eastAsia" w:ascii="宋体" w:hAnsi="宋体" w:cs="宋体"/>
                <w:color w:val="auto"/>
                <w:sz w:val="22"/>
                <w:szCs w:val="22"/>
                <w:highlight w:val="none"/>
                <w:lang w:val="en-US" w:eastAsia="zh-CN"/>
              </w:rPr>
              <w:t>12</w:t>
            </w:r>
          </w:p>
        </w:tc>
        <w:tc>
          <w:tcPr>
            <w:tcW w:w="748" w:type="pct"/>
            <w:tcBorders>
              <w:tl2br w:val="nil"/>
              <w:tr2bl w:val="nil"/>
            </w:tcBorders>
            <w:noWrap/>
            <w:vAlign w:val="center"/>
          </w:tcPr>
          <w:p w14:paraId="7F4CC754">
            <w:pPr>
              <w:widowControl/>
              <w:spacing w:beforeAutospacing="0" w:afterAutospacing="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后勤服务保障</w:t>
            </w:r>
            <w:r>
              <w:rPr>
                <w:rFonts w:hint="eastAsia" w:ascii="宋体" w:hAnsi="宋体" w:eastAsia="宋体" w:cs="宋体"/>
                <w:color w:val="auto"/>
                <w:sz w:val="22"/>
                <w:szCs w:val="22"/>
                <w:highlight w:val="none"/>
                <w:lang w:val="en-US" w:eastAsia="zh-CN"/>
              </w:rPr>
              <w:t>方案</w:t>
            </w:r>
          </w:p>
        </w:tc>
        <w:tc>
          <w:tcPr>
            <w:tcW w:w="318" w:type="pct"/>
            <w:tcBorders>
              <w:tl2br w:val="nil"/>
              <w:tr2bl w:val="nil"/>
            </w:tcBorders>
            <w:noWrap/>
            <w:vAlign w:val="center"/>
          </w:tcPr>
          <w:p w14:paraId="759470FB">
            <w:pPr>
              <w:widowControl/>
              <w:spacing w:beforeAutospacing="0" w:afterAutospacing="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3603" w:type="pct"/>
            <w:tcBorders>
              <w:tl2br w:val="nil"/>
              <w:tr2bl w:val="nil"/>
            </w:tcBorders>
            <w:noWrap/>
            <w:vAlign w:val="center"/>
          </w:tcPr>
          <w:p w14:paraId="53C348A3">
            <w:pPr>
              <w:widowControl/>
              <w:spacing w:beforeAutospacing="0" w:afterAutospacing="0"/>
              <w:jc w:val="left"/>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服务网点便捷性；根据投标供应商服务网点设置的便捷性、场地面积等打分，网点自有的，提供场地产权证书及现场图片（办公室、停车场地）；网点租赁的，提供场地租赁合同及现场图片（办公室、停车场地）；承诺中标后筹备的须提供承诺及场地租赁意向协议；本项最高3分；不满足不得分。</w:t>
            </w:r>
          </w:p>
          <w:p w14:paraId="07D14152">
            <w:pPr>
              <w:widowControl/>
              <w:spacing w:beforeAutospacing="0" w:afterAutospacing="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2.为减少单位用工风险，投标人承诺为本项目员工购买团体意外险且能提供已为一线人员购买团体意外险证明的得3分；未提供的不得分。</w:t>
            </w:r>
          </w:p>
          <w:p w14:paraId="49402660">
            <w:pPr>
              <w:widowControl/>
              <w:spacing w:beforeAutospacing="0" w:afterAutospacing="0"/>
              <w:jc w:val="left"/>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注；投标人在投标文件中需提供购买承诺书和其他同类项目一线人员购买保险的证明（保单或保险合同及保费发票复印件）</w:t>
            </w:r>
          </w:p>
        </w:tc>
      </w:tr>
    </w:tbl>
    <w:p w14:paraId="54AA7C94">
      <w:pPr>
        <w:pStyle w:val="23"/>
        <w:snapToGrid w:val="0"/>
        <w:spacing w:before="0" w:after="0" w:line="276" w:lineRule="auto"/>
        <w:jc w:val="both"/>
        <w:rPr>
          <w:rFonts w:hint="eastAsia" w:ascii="宋体" w:hAnsi="宋体" w:eastAsia="宋体" w:cs="宋体"/>
          <w:b/>
          <w:bCs w:val="0"/>
          <w:color w:val="auto"/>
          <w:spacing w:val="0"/>
          <w:kern w:val="2"/>
          <w:sz w:val="22"/>
          <w:szCs w:val="22"/>
          <w:highlight w:val="none"/>
          <w:lang w:val="en-US" w:eastAsia="zh-CN"/>
        </w:rPr>
      </w:pPr>
    </w:p>
    <w:p w14:paraId="33EA6834">
      <w:pPr>
        <w:pStyle w:val="23"/>
        <w:snapToGrid w:val="0"/>
        <w:spacing w:before="0" w:after="0" w:line="276" w:lineRule="auto"/>
        <w:jc w:val="center"/>
        <w:rPr>
          <w:rFonts w:hAnsi="宋体" w:cs="宋体"/>
          <w:b/>
          <w:bCs w:val="0"/>
          <w:color w:val="auto"/>
          <w:sz w:val="22"/>
          <w:szCs w:val="22"/>
          <w:highlight w:val="none"/>
        </w:rPr>
      </w:pPr>
      <w:r>
        <w:rPr>
          <w:rFonts w:hint="eastAsia" w:ascii="宋体" w:hAnsi="宋体" w:eastAsia="宋体" w:cs="宋体"/>
          <w:b/>
          <w:bCs w:val="0"/>
          <w:color w:val="auto"/>
          <w:spacing w:val="0"/>
          <w:kern w:val="2"/>
          <w:sz w:val="22"/>
          <w:szCs w:val="22"/>
          <w:highlight w:val="none"/>
          <w:lang w:val="en-US" w:eastAsia="zh-CN"/>
        </w:rPr>
        <w:t>五、说明</w:t>
      </w:r>
      <w:bookmarkEnd w:id="116"/>
    </w:p>
    <w:p w14:paraId="23CCAB9C">
      <w:pPr>
        <w:pStyle w:val="12"/>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1</w:t>
      </w:r>
      <w:r>
        <w:rPr>
          <w:rFonts w:hint="eastAsia" w:hAnsi="宋体" w:cs="宋体"/>
          <w:color w:val="auto"/>
          <w:sz w:val="22"/>
          <w:highlight w:val="none"/>
          <w:lang w:eastAsia="zh-CN"/>
        </w:rPr>
        <w:t>.</w:t>
      </w:r>
      <w:r>
        <w:rPr>
          <w:rFonts w:hint="eastAsia" w:hAnsi="宋体" w:cs="宋体"/>
          <w:color w:val="auto"/>
          <w:sz w:val="22"/>
          <w:highlight w:val="none"/>
        </w:rPr>
        <w:t>每个供应商最终得分=商务技术分值（所有评审小组成员打分的算术平均值）＋报价分值。</w:t>
      </w:r>
    </w:p>
    <w:p w14:paraId="63F4A69D">
      <w:pPr>
        <w:pStyle w:val="12"/>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2</w:t>
      </w:r>
      <w:r>
        <w:rPr>
          <w:rFonts w:hint="eastAsia" w:hAnsi="宋体" w:cs="宋体"/>
          <w:color w:val="auto"/>
          <w:sz w:val="22"/>
          <w:highlight w:val="none"/>
          <w:lang w:eastAsia="zh-CN"/>
        </w:rPr>
        <w:t>.</w:t>
      </w:r>
      <w:r>
        <w:rPr>
          <w:rFonts w:hint="eastAsia" w:hAnsi="宋体" w:cs="宋体"/>
          <w:color w:val="auto"/>
          <w:sz w:val="22"/>
          <w:highlight w:val="none"/>
        </w:rPr>
        <w:t>评审小组推荐综合得分第一名的供应商为中标（成交）供应商，如果得分相同的，按投标报价由低到高顺序排列，得分且报价均相同的，按商务技术得分由高到低排列。</w:t>
      </w:r>
    </w:p>
    <w:p w14:paraId="0ED4BEA4">
      <w:pPr>
        <w:pStyle w:val="12"/>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3</w:t>
      </w:r>
      <w:r>
        <w:rPr>
          <w:rFonts w:hint="eastAsia" w:hAnsi="宋体" w:cs="宋体"/>
          <w:color w:val="auto"/>
          <w:sz w:val="22"/>
          <w:highlight w:val="none"/>
          <w:lang w:eastAsia="zh-CN"/>
        </w:rPr>
        <w:t>.</w:t>
      </w:r>
      <w:r>
        <w:rPr>
          <w:rFonts w:hint="eastAsia" w:hAnsi="宋体" w:cs="宋体"/>
          <w:color w:val="auto"/>
          <w:sz w:val="22"/>
          <w:highlight w:val="none"/>
        </w:rPr>
        <w:t>所有分值计算保留小数点后</w:t>
      </w:r>
      <w:r>
        <w:rPr>
          <w:rFonts w:hint="eastAsia" w:hAnsi="宋体" w:cs="宋体"/>
          <w:color w:val="auto"/>
          <w:sz w:val="22"/>
          <w:highlight w:val="none"/>
          <w:lang w:val="en-US" w:eastAsia="zh-CN"/>
        </w:rPr>
        <w:t>两</w:t>
      </w:r>
      <w:r>
        <w:rPr>
          <w:rFonts w:hint="eastAsia" w:hAnsi="宋体" w:cs="宋体"/>
          <w:color w:val="auto"/>
          <w:sz w:val="22"/>
          <w:highlight w:val="none"/>
        </w:rPr>
        <w:t>位，小数点后三位四舍五入。</w:t>
      </w:r>
    </w:p>
    <w:p w14:paraId="315EB536">
      <w:pPr>
        <w:pStyle w:val="12"/>
        <w:tabs>
          <w:tab w:val="left" w:pos="1069"/>
          <w:tab w:val="left" w:pos="2352"/>
        </w:tabs>
        <w:adjustRightInd w:val="0"/>
        <w:snapToGrid w:val="0"/>
        <w:spacing w:line="440" w:lineRule="atLeast"/>
        <w:ind w:firstLine="446" w:firstLineChars="200"/>
        <w:rPr>
          <w:color w:val="auto"/>
          <w:highlight w:val="none"/>
        </w:rPr>
      </w:pPr>
      <w:r>
        <w:rPr>
          <w:rFonts w:hint="eastAsia" w:hAnsi="宋体" w:cs="宋体"/>
          <w:color w:val="auto"/>
          <w:sz w:val="22"/>
          <w:highlight w:val="none"/>
        </w:rPr>
        <w:t>参见本竞争性磋商文件第三部分：“供应商须知”中的相关内容，未尽事宜按有关法律规定处理。</w:t>
      </w:r>
    </w:p>
    <w:sectPr>
      <w:headerReference r:id="rId6" w:type="first"/>
      <w:footerReference r:id="rId8" w:type="first"/>
      <w:headerReference r:id="rId5" w:type="default"/>
      <w:footerReference r:id="rId7"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7"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0000000000000000000"/>
    <w:charset w:val="00"/>
    <w:family w:val="auto"/>
    <w:pitch w:val="default"/>
    <w:sig w:usb0="00000000" w:usb1="00000000" w:usb2="00000000" w:usb3="00000000" w:csb0="00000000" w:csb1="00000000"/>
  </w:font>
  <w:font w:name="Helvetica">
    <w:altName w:val="Arial"/>
    <w:panose1 w:val="020B0504020202030204"/>
    <w:charset w:val="00"/>
    <w:family w:val="swiss"/>
    <w:pitch w:val="default"/>
    <w:sig w:usb0="00000000" w:usb1="00000000" w:usb2="00000000" w:usb3="00000000" w:csb0="00000093" w:csb1="00000000"/>
  </w:font>
  <w:font w:name="Arial (W1)">
    <w:altName w:val="Arial"/>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E3D03">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77FEC">
                          <w:pPr>
                            <w:pStyle w:val="1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B77FEC">
                    <w:pPr>
                      <w:pStyle w:val="1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92BF1">
    <w:pPr>
      <w:pStyle w:val="14"/>
      <w:tabs>
        <w:tab w:val="left" w:pos="4620"/>
        <w:tab w:val="clear" w:pos="4153"/>
      </w:tabs>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23B97">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423B97">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02C5F">
    <w:pPr>
      <w:pStyle w:val="16"/>
      <w:pBdr>
        <w:top w:val="none" w:color="auto" w:sz="0" w:space="0"/>
        <w:left w:val="none" w:color="auto" w:sz="0" w:space="0"/>
        <w:bottom w:val="none" w:color="auto" w:sz="0" w:space="0"/>
        <w:right w:val="none" w:color="auto" w:sz="0" w:space="0"/>
      </w:pBdr>
      <w:rPr>
        <w:u w:val="single"/>
      </w:rPr>
    </w:pPr>
    <w:r>
      <w:rPr>
        <w:u w:val="single"/>
      </w:rPr>
      <w:drawing>
        <wp:inline distT="0" distB="0" distL="114300" distR="114300">
          <wp:extent cx="325755" cy="273050"/>
          <wp:effectExtent l="0" t="0" r="5" b="27"/>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w="9525" cap="flat" cmpd="sng">
                    <a:noFill/>
                    <a:prstDash val="solid"/>
                    <a:round/>
                  </a:ln>
                </pic:spPr>
              </pic:pic>
            </a:graphicData>
          </a:graphic>
        </wp:inline>
      </w:drawing>
    </w:r>
    <w:r>
      <w:rPr>
        <w:rFonts w:hint="eastAsia"/>
        <w:b/>
        <w:sz w:val="16"/>
        <w:szCs w:val="16"/>
        <w:u w:val="single"/>
        <w:lang w:eastAsia="zh-CN"/>
      </w:rPr>
      <w:t>台州嘉亿招标代理有限责任公司  </w:t>
    </w:r>
    <w:r>
      <w:rPr>
        <w:rFonts w:hint="eastAsia"/>
        <w:sz w:val="16"/>
        <w:szCs w:val="16"/>
        <w:u w:val="single"/>
      </w:rPr>
      <w:t xml:space="preserve"> </w:t>
    </w:r>
    <w:r>
      <w:rPr>
        <w:rFonts w:hint="eastAsia"/>
        <w:sz w:val="18"/>
        <w:szCs w:val="18"/>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39C6">
    <w:pPr>
      <w:pStyle w:val="16"/>
      <w:rPr>
        <w:rFonts w:hint="default" w:eastAsia="宋体"/>
        <w:lang w:val="en-US" w:eastAsia="zh-CN"/>
      </w:rPr>
    </w:pPr>
    <w:r>
      <w:rPr>
        <w:rFonts w:eastAsia="宋体"/>
        <w:u w:val="single"/>
      </w:rPr>
      <w:drawing>
        <wp:inline distT="0" distB="0" distL="114300" distR="114300">
          <wp:extent cx="293370" cy="207010"/>
          <wp:effectExtent l="0" t="0" r="1905" b="254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ascii="Times New Roman" w:eastAsia="宋体"/>
        <w:sz w:val="22"/>
        <w:szCs w:val="22"/>
        <w:u w:val="single"/>
        <w:lang w:val="en-US" w:eastAsia="zh-CN"/>
      </w:rPr>
      <w:t>嘉亿招标</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3C905">
    <w:pPr>
      <w:pStyle w:val="16"/>
      <w:rPr>
        <w:rFonts w:hint="default" w:eastAsia="宋体"/>
        <w:u w:val="single"/>
        <w:lang w:val="en-US" w:eastAsia="zh-CN"/>
      </w:rPr>
    </w:pPr>
    <w:r>
      <w:rPr>
        <w:rFonts w:eastAsia="宋体"/>
        <w:u w:val="single"/>
      </w:rPr>
      <w:drawing>
        <wp:inline distT="0" distB="0" distL="114300" distR="114300">
          <wp:extent cx="293370" cy="207010"/>
          <wp:effectExtent l="0" t="0" r="11430" b="889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ascii="Times New Roman" w:eastAsia="宋体"/>
        <w:sz w:val="22"/>
        <w:szCs w:val="22"/>
        <w:u w:val="single"/>
        <w:lang w:val="en-US" w:eastAsia="zh-CN"/>
      </w:rPr>
      <w:t>嘉亿招标</w:t>
    </w:r>
    <w:r>
      <w:rPr>
        <w:rFonts w:hint="eastAsia"/>
        <w:sz w:val="16"/>
        <w:szCs w:val="16"/>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C2DC4">
    <w:pPr>
      <w:pStyle w:val="16"/>
      <w:pBdr>
        <w:top w:val="none" w:color="auto" w:sz="0" w:space="0"/>
        <w:left w:val="none" w:color="auto" w:sz="0" w:space="0"/>
        <w:bottom w:val="none" w:color="auto" w:sz="0" w:space="0"/>
        <w:right w:val="none" w:color="auto" w:sz="0" w:space="0"/>
      </w:pBdr>
      <w:rPr>
        <w:rFonts w:hint="default" w:ascii="宋体" w:eastAsia="宋体"/>
        <w:u w:val="single"/>
        <w:lang w:val="en-US" w:eastAsia="zh-CN"/>
      </w:rPr>
    </w:pPr>
    <w:r>
      <w:rPr>
        <w:rFonts w:eastAsia="宋体"/>
        <w:u w:val="single"/>
      </w:rPr>
      <w:drawing>
        <wp:inline distT="0" distB="0" distL="114300" distR="114300">
          <wp:extent cx="293370" cy="207010"/>
          <wp:effectExtent l="0" t="0" r="11430" b="889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ascii="Times New Roman" w:eastAsia="宋体"/>
        <w:sz w:val="22"/>
        <w:szCs w:val="22"/>
        <w:u w:val="single"/>
        <w:lang w:val="en-US" w:eastAsia="zh-CN"/>
      </w:rPr>
      <w:t>嘉亿招标</w:t>
    </w:r>
    <w:r>
      <w:rPr>
        <w:rFonts w:hint="eastAsia"/>
        <w:sz w:val="16"/>
        <w:szCs w:val="16"/>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23F93"/>
    <w:multiLevelType w:val="singleLevel"/>
    <w:tmpl w:val="D8D23F93"/>
    <w:lvl w:ilvl="0" w:tentative="0">
      <w:start w:val="1"/>
      <w:numFmt w:val="decimal"/>
      <w:lvlText w:val="%1."/>
      <w:lvlJc w:val="left"/>
      <w:pPr>
        <w:tabs>
          <w:tab w:val="left" w:pos="312"/>
        </w:tabs>
        <w:ind w:left="0" w:firstLine="0"/>
      </w:p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EA174426"/>
    <w:multiLevelType w:val="singleLevel"/>
    <w:tmpl w:val="EA174426"/>
    <w:lvl w:ilvl="0" w:tentative="0">
      <w:start w:val="1"/>
      <w:numFmt w:val="decimal"/>
      <w:suff w:val="nothing"/>
      <w:lvlText w:val="（%1）"/>
      <w:lvlJc w:val="left"/>
      <w:pPr>
        <w:ind w:left="0" w:firstLine="0"/>
      </w:pPr>
    </w:lvl>
  </w:abstractNum>
  <w:abstractNum w:abstractNumId="3">
    <w:nsid w:val="FBB0A722"/>
    <w:multiLevelType w:val="singleLevel"/>
    <w:tmpl w:val="FBB0A722"/>
    <w:lvl w:ilvl="0" w:tentative="0">
      <w:start w:val="4"/>
      <w:numFmt w:val="chineseCounting"/>
      <w:suff w:val="nothing"/>
      <w:lvlText w:val="%1、"/>
      <w:lvlJc w:val="left"/>
      <w:pPr>
        <w:ind w:left="0" w:firstLine="0"/>
      </w:pPr>
      <w:rPr>
        <w:rFonts w:hint="eastAsia"/>
      </w:rPr>
    </w:lvl>
  </w:abstractNum>
  <w:abstractNum w:abstractNumId="4">
    <w:nsid w:val="00000002"/>
    <w:multiLevelType w:val="singleLevel"/>
    <w:tmpl w:val="00000002"/>
    <w:lvl w:ilvl="0" w:tentative="0">
      <w:start w:val="1"/>
      <w:numFmt w:val="decimal"/>
      <w:suff w:val="space"/>
      <w:lvlText w:val="%1."/>
      <w:lvlJc w:val="left"/>
      <w:pPr>
        <w:ind w:left="0" w:firstLine="0"/>
      </w:pPr>
    </w:lvl>
  </w:abstractNum>
  <w:abstractNum w:abstractNumId="5">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6">
    <w:nsid w:val="599289D4"/>
    <w:multiLevelType w:val="singleLevel"/>
    <w:tmpl w:val="599289D4"/>
    <w:lvl w:ilvl="0" w:tentative="0">
      <w:start w:val="1"/>
      <w:numFmt w:val="decimal"/>
      <w:lvlText w:val="%1."/>
      <w:lvlJc w:val="left"/>
      <w:pPr>
        <w:ind w:left="425" w:hanging="425"/>
      </w:pPr>
      <w:rPr>
        <w:rFonts w:hint="default"/>
      </w:rPr>
    </w:lvl>
  </w:abstractNum>
  <w:abstractNum w:abstractNumId="7">
    <w:nsid w:val="599289EC"/>
    <w:multiLevelType w:val="singleLevel"/>
    <w:tmpl w:val="599289EC"/>
    <w:lvl w:ilvl="0" w:tentative="0">
      <w:start w:val="1"/>
      <w:numFmt w:val="decimal"/>
      <w:lvlText w:val="%1."/>
      <w:lvlJc w:val="left"/>
      <w:pPr>
        <w:ind w:left="425" w:hanging="425"/>
      </w:pPr>
      <w:rPr>
        <w:rFonts w:hint="default"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1" w:cryptProviderType="rsaFull" w:cryptAlgorithmClass="hash" w:cryptAlgorithmType="typeAny" w:cryptAlgorithmSid="4" w:cryptSpinCount="0" w:hash="BsyBZXU12Mj7WOrTUsLUEelyLMc=" w:salt="p5maJI0y0GMxJPne9bTifg=="/>
  <w:defaultTabStop w:val="420"/>
  <w:drawingGridHorizontalSpacing w:val="106"/>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GIyZmY3NWEzMmY4ODM2ZmNlZDdjOTY1YjdmNzljYjUifQ=="/>
    <w:docVar w:name="KSO_WPS_MARK_KEY" w:val="07e88ac6-8db8-4a65-8d94-f4c00e658b2e"/>
  </w:docVars>
  <w:rsids>
    <w:rsidRoot w:val="00000000"/>
    <w:rsid w:val="00BB0A59"/>
    <w:rsid w:val="03767EB5"/>
    <w:rsid w:val="049D155B"/>
    <w:rsid w:val="07D459E5"/>
    <w:rsid w:val="0F814668"/>
    <w:rsid w:val="12EC614D"/>
    <w:rsid w:val="1416555A"/>
    <w:rsid w:val="18D92288"/>
    <w:rsid w:val="1A736AA5"/>
    <w:rsid w:val="1F2A1552"/>
    <w:rsid w:val="1F362B85"/>
    <w:rsid w:val="20C34377"/>
    <w:rsid w:val="21443314"/>
    <w:rsid w:val="24FC3152"/>
    <w:rsid w:val="28BA534D"/>
    <w:rsid w:val="2BC236C7"/>
    <w:rsid w:val="2BDD6978"/>
    <w:rsid w:val="30AE52F2"/>
    <w:rsid w:val="321737BD"/>
    <w:rsid w:val="32747406"/>
    <w:rsid w:val="381D2A07"/>
    <w:rsid w:val="43106CD7"/>
    <w:rsid w:val="45294080"/>
    <w:rsid w:val="4EA169A0"/>
    <w:rsid w:val="4EBA16FF"/>
    <w:rsid w:val="553237A0"/>
    <w:rsid w:val="57A001D2"/>
    <w:rsid w:val="63AA7110"/>
    <w:rsid w:val="63F518A5"/>
    <w:rsid w:val="69012A9A"/>
    <w:rsid w:val="6B905DD2"/>
    <w:rsid w:val="6BDD334B"/>
    <w:rsid w:val="71BF624B"/>
    <w:rsid w:val="733F0D8F"/>
    <w:rsid w:val="769C0634"/>
    <w:rsid w:val="7A236D15"/>
    <w:rsid w:val="7A44269C"/>
    <w:rsid w:val="7ABC4514"/>
    <w:rsid w:val="7CC85951"/>
    <w:rsid w:val="7EF27388"/>
    <w:rsid w:val="7F2F02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spacing w:before="50" w:beforeLines="50" w:after="50" w:afterLines="50" w:line="360" w:lineRule="auto"/>
      <w:outlineLvl w:val="0"/>
    </w:pPr>
    <w:rPr>
      <w:rFonts w:ascii="仿宋_GB2312" w:eastAsia="仿宋_GB2312"/>
      <w:b/>
      <w:bCs/>
      <w:sz w:val="32"/>
      <w:szCs w:val="32"/>
    </w:rPr>
  </w:style>
  <w:style w:type="paragraph" w:styleId="6">
    <w:name w:val="heading 2"/>
    <w:basedOn w:val="7"/>
    <w:next w:val="1"/>
    <w:qFormat/>
    <w:uiPriority w:val="0"/>
    <w:pPr>
      <w:keepNext/>
      <w:keepLines/>
      <w:widowControl/>
      <w:spacing w:before="100" w:beforeAutospacing="1" w:after="100" w:afterAutospacing="1"/>
      <w:jc w:val="left"/>
      <w:outlineLvl w:val="1"/>
    </w:pPr>
    <w:rPr>
      <w:rFonts w:eastAsia="等线"/>
      <w:kern w:val="0"/>
      <w:sz w:val="36"/>
      <w:szCs w:val="36"/>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7">
    <w:name w:val="Default Paragraph Font"/>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0"/>
      <w:sz w:val="20"/>
      <w:szCs w:val="20"/>
    </w:rPr>
  </w:style>
  <w:style w:type="paragraph" w:styleId="3">
    <w:name w:val="Body Text First Indent"/>
    <w:basedOn w:val="2"/>
    <w:next w:val="4"/>
    <w:qFormat/>
    <w:uiPriority w:val="0"/>
    <w:pPr>
      <w:spacing w:line="312" w:lineRule="auto"/>
      <w:ind w:firstLine="420"/>
    </w:pPr>
    <w:rPr>
      <w:szCs w:val="24"/>
    </w:rPr>
  </w:style>
  <w:style w:type="paragraph" w:styleId="4">
    <w:name w:val="toc 6"/>
    <w:basedOn w:val="1"/>
    <w:next w:val="1"/>
    <w:qFormat/>
    <w:uiPriority w:val="0"/>
    <w:pPr>
      <w:ind w:left="1050"/>
      <w:jc w:val="left"/>
    </w:pPr>
    <w:rPr>
      <w:rFonts w:ascii="Century Gothic" w:hAnsi="Century Gothic"/>
      <w:sz w:val="18"/>
      <w:szCs w:val="18"/>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Indent"/>
    <w:basedOn w:val="1"/>
    <w:qFormat/>
    <w:uiPriority w:val="0"/>
    <w:pPr>
      <w:ind w:left="200" w:hanging="200" w:hangingChars="200"/>
    </w:pPr>
    <w:rPr>
      <w:sz w:val="24"/>
    </w:rPr>
  </w:style>
  <w:style w:type="paragraph" w:styleId="11">
    <w:name w:val="Block Text"/>
    <w:basedOn w:val="1"/>
    <w:qFormat/>
    <w:uiPriority w:val="0"/>
    <w:pPr>
      <w:adjustRightInd w:val="0"/>
      <w:spacing w:line="300" w:lineRule="auto"/>
      <w:ind w:left="958" w:right="-120" w:rightChars="-120"/>
      <w:jc w:val="left"/>
    </w:pPr>
    <w:rPr>
      <w:rFonts w:ascii="宋体" w:hAnsi="宋体"/>
      <w:sz w:val="28"/>
    </w:rPr>
  </w:style>
  <w:style w:type="paragraph" w:styleId="12">
    <w:name w:val="Plain Text"/>
    <w:basedOn w:val="1"/>
    <w:next w:val="1"/>
    <w:qFormat/>
    <w:uiPriority w:val="0"/>
    <w:rPr>
      <w:rFonts w:ascii="宋体" w:hAnsi="Courier New"/>
      <w:kern w:val="0"/>
      <w:szCs w:val="21"/>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kern w:val="0"/>
      <w:sz w:val="18"/>
      <w:szCs w:val="18"/>
    </w:rPr>
  </w:style>
  <w:style w:type="paragraph" w:styleId="17">
    <w:name w:val="toc 1"/>
    <w:basedOn w:val="1"/>
    <w:next w:val="1"/>
    <w:qFormat/>
    <w:uiPriority w:val="0"/>
  </w:style>
  <w:style w:type="paragraph" w:styleId="18">
    <w:name w:val="Subtitle"/>
    <w:basedOn w:val="1"/>
    <w:next w:val="1"/>
    <w:qFormat/>
    <w:uiPriority w:val="0"/>
    <w:pPr>
      <w:widowControl/>
      <w:adjustRightInd w:val="0"/>
      <w:snapToGrid w:val="0"/>
      <w:spacing w:before="240" w:after="60" w:line="312" w:lineRule="auto"/>
      <w:jc w:val="center"/>
      <w:outlineLvl w:val="1"/>
    </w:pPr>
    <w:rPr>
      <w:rFonts w:ascii="Cambria" w:hAnsi="Cambria"/>
      <w:bCs/>
      <w:kern w:val="28"/>
      <w:sz w:val="32"/>
      <w:szCs w:val="32"/>
    </w:rPr>
  </w:style>
  <w:style w:type="paragraph" w:styleId="19">
    <w:name w:val="table of figures"/>
    <w:basedOn w:val="1"/>
    <w:next w:val="1"/>
    <w:qFormat/>
    <w:uiPriority w:val="0"/>
    <w:pPr>
      <w:ind w:left="400" w:leftChars="200" w:hanging="200" w:hangingChars="200"/>
    </w:pPr>
  </w:style>
  <w:style w:type="paragraph" w:styleId="20">
    <w:name w:val="toc 2"/>
    <w:basedOn w:val="1"/>
    <w:next w:val="1"/>
    <w:qFormat/>
    <w:uiPriority w:val="0"/>
    <w:pPr>
      <w:ind w:left="200" w:leftChars="200"/>
    </w:pPr>
    <w:rPr>
      <w:szCs w:val="24"/>
    </w:rPr>
  </w:style>
  <w:style w:type="paragraph" w:styleId="21">
    <w:name w:val="Body Text 2"/>
    <w:basedOn w:val="1"/>
    <w:next w:val="2"/>
    <w:qFormat/>
    <w:uiPriority w:val="0"/>
    <w:pPr>
      <w:ind w:right="-244" w:rightChars="-244"/>
    </w:pPr>
    <w:rPr>
      <w:rFonts w:ascii="宋体"/>
      <w:sz w:val="24"/>
    </w:rPr>
  </w:style>
  <w:style w:type="paragraph" w:styleId="22">
    <w:name w:val="Normal (Web)"/>
    <w:basedOn w:val="1"/>
    <w:qFormat/>
    <w:uiPriority w:val="0"/>
    <w:pPr>
      <w:widowControl/>
      <w:spacing w:after="50" w:afterLines="50"/>
      <w:jc w:val="left"/>
    </w:pPr>
    <w:rPr>
      <w:rFonts w:ascii="长城仿宋" w:hAnsi="长城仿宋" w:eastAsia="Arial Unicode MS"/>
      <w:sz w:val="24"/>
    </w:rPr>
  </w:style>
  <w:style w:type="paragraph" w:styleId="23">
    <w:name w:val="Title"/>
    <w:basedOn w:val="1"/>
    <w:next w:val="1"/>
    <w:qFormat/>
    <w:uiPriority w:val="0"/>
    <w:pPr>
      <w:spacing w:before="240" w:after="60"/>
      <w:jc w:val="center"/>
      <w:outlineLvl w:val="0"/>
    </w:pPr>
    <w:rPr>
      <w:rFonts w:ascii="Arial" w:hAnsi="Arial"/>
      <w:sz w:val="32"/>
      <w:szCs w:val="32"/>
    </w:rPr>
  </w:style>
  <w:style w:type="paragraph" w:styleId="24">
    <w:name w:val="annotation subject"/>
    <w:basedOn w:val="9"/>
    <w:next w:val="9"/>
    <w:qFormat/>
    <w:uiPriority w:val="0"/>
    <w:rPr>
      <w:b/>
      <w:bCs/>
    </w:rPr>
  </w:style>
  <w:style w:type="paragraph" w:styleId="25">
    <w:name w:val="Body Text First Indent 2"/>
    <w:basedOn w:val="10"/>
    <w:qFormat/>
    <w:uiPriority w:val="0"/>
    <w:pPr>
      <w:spacing w:after="120"/>
      <w:ind w:left="200" w:leftChars="200"/>
    </w:pPr>
    <w:rPr>
      <w:rFonts w:cs="宋体"/>
      <w:sz w:val="21"/>
      <w:szCs w:val="21"/>
    </w:rPr>
  </w:style>
  <w:style w:type="character" w:styleId="28">
    <w:name w:val="Strong"/>
    <w:qFormat/>
    <w:uiPriority w:val="0"/>
    <w:rPr>
      <w:b/>
      <w:bCs/>
    </w:rPr>
  </w:style>
  <w:style w:type="character" w:styleId="29">
    <w:name w:val="FollowedHyperlink"/>
    <w:basedOn w:val="27"/>
    <w:qFormat/>
    <w:uiPriority w:val="0"/>
    <w:rPr>
      <w:color w:val="800080"/>
      <w:u w:val="single"/>
    </w:rPr>
  </w:style>
  <w:style w:type="character" w:styleId="30">
    <w:name w:val="annotation reference"/>
    <w:basedOn w:val="27"/>
    <w:qFormat/>
    <w:uiPriority w:val="0"/>
    <w:rPr>
      <w:sz w:val="21"/>
      <w:szCs w:val="21"/>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表格文字"/>
    <w:basedOn w:val="12"/>
    <w:next w:val="2"/>
    <w:qFormat/>
    <w:uiPriority w:val="0"/>
    <w:pPr>
      <w:adjustRightInd w:val="0"/>
      <w:spacing w:line="420" w:lineRule="atLeast"/>
      <w:jc w:val="left"/>
      <w:textAlignment w:val="baseline"/>
    </w:pPr>
    <w:rPr>
      <w:rFonts w:ascii="Times New Roman" w:hAnsi="Times New Roman"/>
      <w:szCs w:val="24"/>
    </w:rPr>
  </w:style>
  <w:style w:type="paragraph" w:customStyle="1" w:styleId="33">
    <w:name w:val="Normal Indent1"/>
    <w:basedOn w:val="1"/>
    <w:qFormat/>
    <w:uiPriority w:val="0"/>
    <w:pPr>
      <w:ind w:firstLine="200" w:firstLineChars="200"/>
    </w:pPr>
  </w:style>
  <w:style w:type="paragraph" w:customStyle="1" w:styleId="34">
    <w:name w:val="Plain Text1"/>
    <w:basedOn w:val="1"/>
    <w:qFormat/>
    <w:uiPriority w:val="0"/>
    <w:rPr>
      <w:rFonts w:ascii="宋体" w:hAnsi="Courier New"/>
      <w:szCs w:val="20"/>
    </w:rPr>
  </w:style>
  <w:style w:type="paragraph" w:customStyle="1" w:styleId="3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36">
    <w:name w:val="正文2"/>
    <w:basedOn w:val="1"/>
    <w:next w:val="17"/>
    <w:qFormat/>
    <w:uiPriority w:val="0"/>
    <w:pPr>
      <w:spacing w:before="156" w:line="360" w:lineRule="auto"/>
      <w:ind w:firstLine="200" w:firstLineChars="200"/>
    </w:pPr>
    <w:rPr>
      <w:sz w:val="24"/>
      <w:szCs w:val="20"/>
    </w:rPr>
  </w:style>
  <w:style w:type="paragraph" w:customStyle="1" w:styleId="37">
    <w:name w:val="列出段落1"/>
    <w:basedOn w:val="1"/>
    <w:qFormat/>
    <w:uiPriority w:val="0"/>
    <w:pPr>
      <w:ind w:firstLine="200" w:firstLineChars="200"/>
    </w:pPr>
  </w:style>
  <w:style w:type="paragraph" w:customStyle="1" w:styleId="3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9">
    <w:name w:val="正文1"/>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0">
    <w:name w:val="纯文本1"/>
    <w:basedOn w:val="39"/>
    <w:qFormat/>
    <w:uiPriority w:val="0"/>
    <w:pPr>
      <w:widowControl/>
      <w:jc w:val="left"/>
    </w:pPr>
    <w:rPr>
      <w:rFonts w:ascii="宋体" w:hAnsi="Courier New"/>
    </w:rPr>
  </w:style>
  <w:style w:type="paragraph" w:customStyle="1" w:styleId="41">
    <w:name w:val="章正文"/>
    <w:basedOn w:val="1"/>
    <w:qFormat/>
    <w:uiPriority w:val="0"/>
    <w:pPr>
      <w:spacing w:before="50" w:beforeLines="50" w:after="120" w:line="300" w:lineRule="auto"/>
      <w:ind w:firstLine="480"/>
    </w:pPr>
    <w:rPr>
      <w:rFonts w:ascii="Helvetica" w:hAnsi="Helvetica"/>
      <w:kern w:val="0"/>
    </w:rPr>
  </w:style>
  <w:style w:type="character" w:customStyle="1" w:styleId="42">
    <w:name w:val="font21"/>
    <w:basedOn w:val="27"/>
    <w:qFormat/>
    <w:uiPriority w:val="0"/>
    <w:rPr>
      <w:rFonts w:ascii="宋体" w:hAnsi="宋体" w:eastAsia="宋体" w:cs="宋体"/>
      <w:color w:val="000000"/>
      <w:sz w:val="21"/>
      <w:szCs w:val="21"/>
      <w:u w:val="none"/>
    </w:rPr>
  </w:style>
  <w:style w:type="character" w:customStyle="1" w:styleId="43">
    <w:name w:val="font31"/>
    <w:basedOn w:val="27"/>
    <w:qFormat/>
    <w:uiPriority w:val="0"/>
    <w:rPr>
      <w:rFonts w:ascii="宋体" w:hAnsi="宋体" w:eastAsia="宋体" w:cs="宋体"/>
      <w:color w:val="000000"/>
      <w:sz w:val="24"/>
      <w:szCs w:val="24"/>
      <w:u w:val="none"/>
    </w:rPr>
  </w:style>
  <w:style w:type="paragraph" w:styleId="44">
    <w:name w:val="List Paragraph"/>
    <w:basedOn w:val="1"/>
    <w:qFormat/>
    <w:uiPriority w:val="0"/>
    <w:pPr>
      <w:ind w:firstLine="200" w:firstLineChars="200"/>
    </w:pPr>
  </w:style>
  <w:style w:type="paragraph" w:customStyle="1" w:styleId="45">
    <w:name w:val="正文C"/>
    <w:basedOn w:val="1"/>
    <w:qFormat/>
    <w:uiPriority w:val="0"/>
    <w:pPr>
      <w:spacing w:line="360" w:lineRule="auto"/>
      <w:ind w:firstLine="200" w:firstLineChars="200"/>
    </w:pPr>
    <w:rPr>
      <w:sz w:val="24"/>
      <w:szCs w:val="24"/>
    </w:rPr>
  </w:style>
  <w:style w:type="paragraph" w:customStyle="1" w:styleId="46">
    <w:name w:val="修订1"/>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4a5b5406-5972-4479-aeb9-784318008222</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4A8EE9B3</paraID>
      <start>75</start>
      <end>86</end>
      <status>unmodified</status>
      <modifiedWord/>
      <trackRevisions>false</trackRevisions>
    </reviewItem>
    <reviewItem>
      <errorID>b617299d-b138-4baa-8d7b-8934b7031ab8</errorID>
      <errorWord>)</errorWord>
      <group>L1_Format</group>
      <groupName>格式问题</groupName>
      <ability>L2_HalfPunc_CN</ability>
      <abilityName>全半角问题</abilityName>
      <candidateList>
        <item>）</item>
      </candidateList>
      <explain>文本全半角错误。</explain>
      <paraID>3304A59D</paraID>
      <start>61</start>
      <end>62</end>
      <status>unmodified</status>
      <modifiedWord/>
      <trackRevisions>false</trackRevisions>
    </reviewItem>
    <reviewItem>
      <errorID>896bb378-535a-4d4a-b8ee-19af82ea1268</errorID>
      <errorWord>：/</errorWord>
      <group>L1_Punc</group>
      <groupName>标点问题</groupName>
      <ability>L2_Punc_CN</ability>
      <abilityName>标点符号问题</abilityName>
      <candidateList>
        <item>：</item>
      </candidateList>
      <explain/>
      <paraID>7015069C</paraID>
      <start>6</start>
      <end>8</end>
      <status>unmodified</status>
      <modifiedWord/>
      <trackRevisions>false</trackRevisions>
    </reviewItem>
    <reviewItem>
      <errorID>06f69500-2523-48ec-8fd0-4d74c8556b52</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7015069C</paraID>
      <start>9</start>
      <end>20</end>
      <status>unmodified</status>
      <modifiedWord/>
      <trackRevisions>false</trackRevisions>
    </reviewItem>
    <reviewItem>
      <errorID>2fe02438-b567-4f6a-94fa-d4df4fc7c5a1</errorID>
      <errorWord>上午00:00</errorWord>
      <group>L1_Knowledge</group>
      <groupName>知识性问题</groupName>
      <ability>L2_Time</ability>
      <abilityName>日期时间</abilityName>
      <candidateList/>
      <explain>时间与前缀不匹配，可能的时间前缀有“下午、晚上、凌晨、午夜”。</explain>
      <paraID>7015069C</paraID>
      <start>23</start>
      <end>30</end>
      <status>unmodified</status>
      <modifiedWord/>
      <trackRevisions>false</trackRevisions>
    </reviewItem>
    <reviewItem>
      <errorID>a06245d3-5f8f-4401-84d4-5d18e012db28</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1DDBFD0D</paraID>
      <start>9</start>
      <end>20</end>
      <status>unmodified</status>
      <modifiedWord/>
      <trackRevisions>false</trackRevisions>
    </reviewItem>
    <reviewItem>
      <errorID>91dfca8d-ec36-4a35-ad0b-43b37c45428d</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417A7FAA</paraID>
      <start>9</start>
      <end>20</end>
      <status>unmodified</status>
      <modifiedWord/>
      <trackRevisions>false</trackRevisions>
    </reviewItem>
    <reviewItem>
      <errorID>f1522a62-c68f-466f-8ccd-305e34fdebcb</errorID>
      <errorWord>（2022）3号</errorWord>
      <group>L1_Knowledge</group>
      <groupName>知识性问题</groupName>
      <ability>L2_Knowledge</ability>
      <abilityName>其他知识</abilityName>
      <candidateList>
        <item>〔2022〕3号</item>
      </candidateList>
      <explain>发文字号格式错误。</explain>
      <paraID>11EC3A19</paraID>
      <start>44</start>
      <end>52</end>
      <status>unmodified</status>
      <modifiedWord/>
      <trackRevisions>false</trackRevisions>
    </reviewItem>
    <reviewItem>
      <errorID>e608f57d-b83c-4199-8a77-31be3e3be2cc</errorID>
      <errorWord>（2021）22号</errorWord>
      <group>L1_Knowledge</group>
      <groupName>知识性问题</groupName>
      <ability>L2_Knowledge</ability>
      <abilityName>其他知识</abilityName>
      <candidateList>
        <item>〔2021〕22号</item>
      </candidateList>
      <explain>发文字号格式错误。</explain>
      <paraID>11EC3A19</paraID>
      <start>93</start>
      <end>102</end>
      <status>unmodified</status>
      <modifiedWord/>
      <trackRevisions>false</trackRevisions>
    </reviewItem>
    <reviewItem>
      <errorID>2aa668fa-1369-4df4-8de5-7553f96dbfc2</errorID>
      <errorWord>（2021）22号</errorWord>
      <group>L1_Knowledge</group>
      <groupName>知识性问题</groupName>
      <ability>L2_Knowledge</ability>
      <abilityName>其他知识</abilityName>
      <candidateList>
        <item>〔2021〕22号</item>
      </candidateList>
      <explain>发文字号格式错误。</explain>
      <paraID>1950D976</paraID>
      <start>43</start>
      <end>52</end>
      <status>unmodified</status>
      <modifiedWord/>
      <trackRevisions>false</trackRevisions>
    </reviewItem>
    <reviewItem>
      <errorID>f3f04279-9c0c-4aa0-8847-2d8eb2a65a00</errorID>
      <errorWord>-</errorWord>
      <group>L1_Format</group>
      <groupName>格式问题</groupName>
      <ability>L2_HalfPunc_CN</ability>
      <abilityName>全半角问题</abilityName>
      <candidateList>
        <item>－</item>
      </candidateList>
      <explain>文本全半角错误。</explain>
      <paraID>1950D976</paraID>
      <start>89</start>
      <end>90</end>
      <status>unmodified</status>
      <modifiedWord/>
      <trackRevisions>false</trackRevisions>
    </reviewItem>
    <reviewItem>
      <errorID>18c3925c-902d-4286-a1d3-07c1631c53b1</errorID>
      <errorWord>-</errorWord>
      <group>L1_Format</group>
      <groupName>格式问题</groupName>
      <ability>L2_HalfPunc_CN</ability>
      <abilityName>全半角问题</abilityName>
      <candidateList>
        <item>－</item>
      </candidateList>
      <explain>文本全半角错误。</explain>
      <paraID>1950D976</paraID>
      <start>94</start>
      <end>95</end>
      <status>unmodified</status>
      <modifiedWord/>
      <trackRevisions>false</trackRevisions>
    </reviewItem>
    <reviewItem>
      <errorID>10ccb399-c922-4afe-92c6-ffd938803caa</errorID>
      <errorWord>-</errorWord>
      <group>L1_Format</group>
      <groupName>格式问题</groupName>
      <ability>L2_HalfPunc_CN</ability>
      <abilityName>全半角问题</abilityName>
      <candidateList>
        <item>－</item>
      </candidateList>
      <explain>文本全半角错误。</explain>
      <paraID>1950D976</paraID>
      <start>101</start>
      <end>102</end>
      <status>unmodified</status>
      <modifiedWord/>
      <trackRevisions>false</trackRevisions>
    </reviewItem>
    <reviewItem>
      <errorID>bc727f43-01b9-4648-b6a1-f32e6406a06d</errorID>
      <errorWord>:</errorWord>
      <group>L1_Format</group>
      <groupName>格式问题</groupName>
      <ability>L2_HalfPunc_CN</ability>
      <abilityName>全半角问题</abilityName>
      <candidateList>
        <item>：</item>
      </candidateList>
      <explain>文本全半角错误。</explain>
      <paraID>1950D976</paraID>
      <start>106</start>
      <end>107</end>
      <status>unmodified</status>
      <modifiedWord/>
      <trackRevisions>false</trackRevisions>
    </reviewItem>
    <reviewItem>
      <errorID>c7cfa087-b48e-4353-91e4-fee95fd6bf94</errorID>
      <errorWord>-</errorWord>
      <group>L1_Format</group>
      <groupName>格式问题</groupName>
      <ability>L2_HalfPunc_CN</ability>
      <abilityName>全半角问题</abilityName>
      <candidateList>
        <item>－</item>
      </candidateList>
      <explain>文本全半角错误。</explain>
      <paraID>1950D976</paraID>
      <start>126</start>
      <end>127</end>
      <status>unmodified</status>
      <modifiedWord/>
      <trackRevisions>false</trackRevisions>
    </reviewItem>
    <reviewItem>
      <errorID>107c0e81-b1be-4762-93cc-5d993ec734b0</errorID>
      <errorWord>-</errorWord>
      <group>L1_Format</group>
      <groupName>格式问题</groupName>
      <ability>L2_HalfPunc_CN</ability>
      <abilityName>全半角问题</abilityName>
      <candidateList>
        <item>－</item>
      </candidateList>
      <explain>文本全半角错误。</explain>
      <paraID>1950D976</paraID>
      <start>131</start>
      <end>132</end>
      <status>unmodified</status>
      <modifiedWord/>
      <trackRevisions>false</trackRevisions>
    </reviewItem>
    <reviewItem>
      <errorID>0a8bfdad-9e83-46d1-a5d0-19a3ac984034</errorID>
      <errorWord>-</errorWord>
      <group>L1_Format</group>
      <groupName>格式问题</groupName>
      <ability>L2_HalfPunc_CN</ability>
      <abilityName>全半角问题</abilityName>
      <candidateList>
        <item>－</item>
      </candidateList>
      <explain>文本全半角错误。</explain>
      <paraID>1950D976</paraID>
      <start>138</start>
      <end>139</end>
      <status>unmodified</status>
      <modifiedWord/>
      <trackRevisions>false</trackRevisions>
    </reviewItem>
    <reviewItem>
      <errorID>5a2618a9-96f9-4348-94d8-f65d5818c4ca</errorID>
      <errorWord>-</errorWord>
      <group>L1_Format</group>
      <groupName>格式问题</groupName>
      <ability>L2_HalfPunc_CN</ability>
      <abilityName>全半角问题</abilityName>
      <candidateList>
        <item>－</item>
      </candidateList>
      <explain>文本全半角错误。</explain>
      <paraID>1950D976</paraID>
      <start>180</start>
      <end>181</end>
      <status>unmodified</status>
      <modifiedWord/>
      <trackRevisions>false</trackRevisions>
    </reviewItem>
    <reviewItem>
      <errorID>82569a0c-41a9-4808-9eb4-550612ed489c</errorID>
      <errorWord>-</errorWord>
      <group>L1_Format</group>
      <groupName>格式问题</groupName>
      <ability>L2_HalfPunc_CN</ability>
      <abilityName>全半角问题</abilityName>
      <candidateList>
        <item>－</item>
      </candidateList>
      <explain>文本全半角错误。</explain>
      <paraID>1950D976</paraID>
      <start>189</start>
      <end>190</end>
      <status>unmodified</status>
      <modifiedWord/>
      <trackRevisions>false</trackRevisions>
    </reviewItem>
    <reviewItem>
      <errorID>9a4f9afa-1253-4c1b-bb00-4c42a7f031ac</errorID>
      <errorWord>操作合</errorWord>
      <group>L1_Word</group>
      <groupName>字词问题</groupName>
      <ability>L2_Typo</ability>
      <abilityName>字词错误</abilityName>
      <candidateList>
        <item>操作台</item>
      </candidateList>
      <explain/>
      <paraID>1DF6F05C</paraID>
      <start>8</start>
      <end>11</end>
      <status>unmodified</status>
      <modifiedWord/>
      <trackRevisions>false</trackRevisions>
    </reviewItem>
    <reviewItem>
      <errorID>1b8a9ce9-4cc5-4663-916b-dc65161eb3a3</errorID>
      <errorWord>-</errorWord>
      <group>L1_Format</group>
      <groupName>格式问题</groupName>
      <ability>L2_HalfPunc_CN</ability>
      <abilityName>全半角问题</abilityName>
      <candidateList>
        <item>－</item>
      </candidateList>
      <explain>文本全半角错误。</explain>
      <paraID>476EB1A5</paraID>
      <start>59</start>
      <end>60</end>
      <status>unmodified</status>
      <modifiedWord/>
      <trackRevisions>false</trackRevisions>
    </reviewItem>
    <reviewItem>
      <errorID>cb4141b0-71d7-4ed2-92a0-bbe4380e6ec2</errorID>
      <errorWord>-</errorWord>
      <group>L1_Format</group>
      <groupName>格式问题</groupName>
      <ability>L2_HalfPunc_CN</ability>
      <abilityName>全半角问题</abilityName>
      <candidateList>
        <item>－</item>
      </candidateList>
      <explain>文本全半角错误。</explain>
      <paraID>476EB1A5</paraID>
      <start>64</start>
      <end>65</end>
      <status>unmodified</status>
      <modifiedWord/>
      <trackRevisions>false</trackRevisions>
    </reviewItem>
    <reviewItem>
      <errorID>007456ab-4f8a-4ceb-8825-fa36f919cb9a</errorID>
      <errorWord>-</errorWord>
      <group>L1_Format</group>
      <groupName>格式问题</groupName>
      <ability>L2_HalfPunc_CN</ability>
      <abilityName>全半角问题</abilityName>
      <candidateList>
        <item>－</item>
      </candidateList>
      <explain>文本全半角错误。</explain>
      <paraID>476EB1A5</paraID>
      <start>69</start>
      <end>70</end>
      <status>unmodified</status>
      <modifiedWord/>
      <trackRevisions>false</trackRevisions>
    </reviewItem>
    <reviewItem>
      <errorID>bb422cbb-ed1d-4d74-8268-651cbba2c5cf</errorID>
      <errorWord>-</errorWord>
      <group>L1_Format</group>
      <groupName>格式问题</groupName>
      <ability>L2_HalfPunc_CN</ability>
      <abilityName>全半角问题</abilityName>
      <candidateList>
        <item>－</item>
      </candidateList>
      <explain>文本全半角错误。</explain>
      <paraID>476EB1A5</paraID>
      <start>74</start>
      <end>75</end>
      <status>unmodified</status>
      <modifiedWord/>
      <trackRevisions>false</trackRevisions>
    </reviewItem>
    <reviewItem>
      <errorID>eebddd7f-42c9-4dff-9092-e6fb5dd21310</errorID>
      <errorWord>（</errorWord>
      <group>L1_Punc</group>
      <groupName>标点问题</groupName>
      <ability>L2_Punc_CN</ability>
      <abilityName>标点符号问题</abilityName>
      <candidateList/>
      <explain>同一形式括号套用。</explain>
      <paraID>7DD2C9D5</paraID>
      <start>29</start>
      <end>30</end>
      <status>unmodified</status>
      <modifiedWord/>
      <trackRevisions>false</trackRevisions>
    </reviewItem>
    <reviewItem>
      <errorID>464d290d-35c4-4f3d-926a-40f01f74b455</errorID>
      <errorWord>）</errorWord>
      <group>L1_Punc</group>
      <groupName>标点问题</groupName>
      <ability>L2_Punc_CN</ability>
      <abilityName>标点符号问题</abilityName>
      <candidateList/>
      <explain>同一形式括号套用。</explain>
      <paraID>7DD2C9D5</paraID>
      <start>32</start>
      <end>33</end>
      <status>unmodified</status>
      <modifiedWord/>
      <trackRevisions>false</trackRevisions>
    </reviewItem>
    <reviewItem>
      <errorID>57f84678-8e1c-4037-bc73-e5771a7495b0</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145F537E</paraID>
      <start>0</start>
      <end>11</end>
      <status>unmodified</status>
      <modifiedWord/>
      <trackRevisions>false</trackRevisions>
    </reviewItem>
    <reviewItem>
      <errorID>fb30cbb7-831a-4534-a759-2e619f60692f</errorID>
      <errorWord>(</errorWord>
      <group>L1_Format</group>
      <groupName>格式问题</groupName>
      <ability>L2_HalfPunc_CN</ability>
      <abilityName>全半角问题</abilityName>
      <candidateList>
        <item>（</item>
      </candidateList>
      <explain>文本全半角错误。</explain>
      <paraID>145F537E</paraID>
      <start>16</start>
      <end>17</end>
      <status>unmodified</status>
      <modifiedWord/>
      <trackRevisions>false</trackRevisions>
    </reviewItem>
    <reviewItem>
      <errorID>31e8f1d5-95db-451f-bf75-5aea296322cf</errorID>
      <errorWord>)</errorWord>
      <group>L1_Format</group>
      <groupName>格式问题</groupName>
      <ability>L2_HalfPunc_CN</ability>
      <abilityName>全半角问题</abilityName>
      <candidateList>
        <item>）</item>
      </candidateList>
      <explain>文本全半角错误。</explain>
      <paraID>145F537E</paraID>
      <start>21</start>
      <end>22</end>
      <status>unmodified</status>
      <modifiedWord/>
      <trackRevisions>false</trackRevisions>
    </reviewItem>
    <reviewItem>
      <errorID>333fec1e-f727-462b-99ce-90a1a51e5b53</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7CBFF8B8</paraID>
      <start>5</start>
      <end>16</end>
      <status>unmodified</status>
      <modifiedWord/>
      <trackRevisions>false</trackRevisions>
    </reviewItem>
    <reviewItem>
      <errorID>43f78558-2437-4f5d-8b79-6b2b5ac7324b</errorID>
      <errorWord>(</errorWord>
      <group>L1_Format</group>
      <groupName>格式问题</groupName>
      <ability>L2_HalfPunc_CN</ability>
      <abilityName>全半角问题</abilityName>
      <candidateList>
        <item>（</item>
      </candidateList>
      <explain>文本全半角错误。</explain>
      <paraID>7CBFF8B8</paraID>
      <start>22</start>
      <end>23</end>
      <status>unmodified</status>
      <modifiedWord/>
      <trackRevisions>false</trackRevisions>
    </reviewItem>
    <reviewItem>
      <errorID>f0f69e3d-89bc-403c-b450-33026ba62b2a</errorID>
      <errorWord>)</errorWord>
      <group>L1_Format</group>
      <groupName>格式问题</groupName>
      <ability>L2_HalfPunc_CN</ability>
      <abilityName>全半角问题</abilityName>
      <candidateList>
        <item>）</item>
      </candidateList>
      <explain>文本全半角错误。</explain>
      <paraID>7CBFF8B8</paraID>
      <start>27</start>
      <end>28</end>
      <status>unmodified</status>
      <modifiedWord/>
      <trackRevisions>false</trackRevisions>
    </reviewItem>
    <reviewItem>
      <errorID>0d748e6e-c1f1-4007-af51-344a9c38ef21</errorID>
      <errorWord>-</errorWord>
      <group>L1_Format</group>
      <groupName>格式问题</groupName>
      <ability>L2_HalfPunc_CN</ability>
      <abilityName>全半角问题</abilityName>
      <candidateList>
        <item>－</item>
      </candidateList>
      <explain>文本全半角错误。</explain>
      <paraID>78666665</paraID>
      <start>42</start>
      <end>43</end>
      <status>unmodified</status>
      <modifiedWord/>
      <trackRevisions>false</trackRevisions>
    </reviewItem>
    <reviewItem>
      <errorID>4d813bd1-0b74-440c-bebd-eab785e5baa2</errorID>
      <errorWord>(</errorWord>
      <group>L1_Format</group>
      <groupName>格式问题</groupName>
      <ability>L2_HalfPunc_CN</ability>
      <abilityName>全半角问题</abilityName>
      <candidateList>
        <item>（</item>
      </candidateList>
      <explain>文本全半角错误。</explain>
      <paraID>26ED9D79</paraID>
      <start>25</start>
      <end>26</end>
      <status>unmodified</status>
      <modifiedWord/>
      <trackRevisions>false</trackRevisions>
    </reviewItem>
    <reviewItem>
      <errorID>f63d2087-887a-4eaa-bb88-db26f66ee7b8</errorID>
      <errorWord>)</errorWord>
      <group>L1_Format</group>
      <groupName>格式问题</groupName>
      <ability>L2_HalfPunc_CN</ability>
      <abilityName>全半角问题</abilityName>
      <candidateList>
        <item>）</item>
      </candidateList>
      <explain>文本全半角错误。</explain>
      <paraID>26ED9D79</paraID>
      <start>91</start>
      <end>92</end>
      <status>unmodified</status>
      <modifiedWord/>
      <trackRevisions>false</trackRevisions>
    </reviewItem>
    <reviewItem>
      <errorID>131cf64c-0ace-4e06-a10d-37644269b074</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1C94DBB6</paraID>
      <start>16</start>
      <end>17</end>
      <status>unmodified</status>
      <modifiedWord/>
      <trackRevisions>false</trackRevisions>
    </reviewItem>
    <reviewItem>
      <errorID>6441a4a6-a1c7-438b-b689-c05db706f520</errorID>
      <errorWord>，</errorWord>
      <group>L1_Word</group>
      <groupName>字词问题</groupName>
      <ability>L2_Typo</ability>
      <abilityName>字词错误</abilityName>
      <candidateList>
        <item>，对</item>
      </candidateList>
      <explain/>
      <paraID>1C94DBB6</paraID>
      <start>72</start>
      <end>73</end>
      <status>unmodified</status>
      <modifiedWord/>
      <trackRevisions>false</trackRevisions>
    </reviewItem>
    <reviewItem>
      <errorID>3711f9ed-4c99-45c9-b405-af89629bb046</errorID>
      <errorWord>(</errorWord>
      <group>L1_Format</group>
      <groupName>格式问题</groupName>
      <ability>L2_HalfPunc_CN</ability>
      <abilityName>全半角问题</abilityName>
      <candidateList>
        <item>（</item>
      </candidateList>
      <explain>文本全半角错误。</explain>
      <paraID> 559C6ED</paraID>
      <start>27</start>
      <end>28</end>
      <status>unmodified</status>
      <modifiedWord/>
      <trackRevisions>false</trackRevisions>
    </reviewItem>
    <reviewItem>
      <errorID>bdb82664-102e-4ea9-8e5f-6f400a2d4f7c</errorID>
      <errorWord>)</errorWord>
      <group>L1_Format</group>
      <groupName>格式问题</groupName>
      <ability>L2_HalfPunc_CN</ability>
      <abilityName>全半角问题</abilityName>
      <candidateList>
        <item>）</item>
      </candidateList>
      <explain>文本全半角错误。</explain>
      <paraID> 559C6ED</paraID>
      <start>35</start>
      <end>36</end>
      <status>unmodified</status>
      <modifiedWord/>
      <trackRevisions>false</trackRevisions>
    </reviewItem>
    <reviewItem>
      <errorID>a1c9d3a2-3ace-48ad-a03f-6365721e3d5b</errorID>
      <errorWord>(</errorWord>
      <group>L1_Format</group>
      <groupName>格式问题</groupName>
      <ability>L2_HalfPunc_CN</ability>
      <abilityName>全半角问题</abilityName>
      <candidateList>
        <item>（</item>
      </candidateList>
      <explain>文本全半角错误。</explain>
      <paraID> 73F6D3F</paraID>
      <start>18</start>
      <end>19</end>
      <status>unmodified</status>
      <modifiedWord/>
      <trackRevisions>false</trackRevisions>
    </reviewItem>
    <reviewItem>
      <errorID>b5ecc72e-0019-49f2-8487-aec2979a8859</errorID>
      <errorWord>)</errorWord>
      <group>L1_Format</group>
      <groupName>格式问题</groupName>
      <ability>L2_HalfPunc_CN</ability>
      <abilityName>全半角问题</abilityName>
      <candidateList>
        <item>）</item>
      </candidateList>
      <explain>文本全半角错误。</explain>
      <paraID> 73F6D3F</paraID>
      <start>26</start>
      <end>27</end>
      <status>unmodified</status>
      <modifiedWord/>
      <trackRevisions>false</trackRevisions>
    </reviewItem>
    <reviewItem>
      <errorID>03f42394-df48-41bf-84c1-5c261fcf9657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5DA080EB</paraID>
      <start>1</start>
      <end>2</end>
      <status>unmodified</status>
      <modifiedWord/>
      <trackRevisions>false</trackRevisions>
    </reviewItem>
    <reviewItem>
      <errorID>ccb1adf1-0bfc-4a1a-be7f-a8a4e4ef82f5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4A21FC67</paraID>
      <start>1</start>
      <end>2</end>
      <status>unmodified</status>
      <modifiedWord/>
      <trackRevisions>false</trackRevisions>
    </reviewItem>
    <reviewItem>
      <errorID>62866650-a340-49ad-bd6b-2d7d5394ff50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654D0F</paraID>
      <start>1</start>
      <end>2</end>
      <status>unmodified</status>
      <modifiedWord/>
      <trackRevisions>false</trackRevisions>
    </reviewItem>
    <reviewItem>
      <errorID>7d13464a-acd2-4faa-91b1-c957325e1790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73EFB27E</paraID>
      <start>1</start>
      <end>2</end>
      <status>unmodified</status>
      <modifiedWord/>
      <trackRevisions>false</trackRevisions>
    </reviewItem>
    <reviewItem>
      <errorID>2fba479e-f8b4-404e-8005-953f5f7adc6d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4FB5DA22</paraID>
      <start>1</start>
      <end>2</end>
      <status>unmodified</status>
      <modifiedWord/>
      <trackRevisions>false</trackRevisions>
    </reviewItem>
    <reviewItem>
      <errorID>56afb05b-a53f-4308-86c6-9c318ff6048c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2C47D446</paraID>
      <start>1</start>
      <end>2</end>
      <status>unmodified</status>
      <modifiedWord/>
      <trackRevisions>false</trackRevisions>
    </reviewItem>
    <reviewItem>
      <errorID>2216bd04-e368-48ff-bb14-9b6c6408e6c4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63E6239D</paraID>
      <start>1</start>
      <end>2</end>
      <status>unmodified</status>
      <modifiedWord/>
      <trackRevisions>false</trackRevisions>
    </reviewItem>
    <reviewItem>
      <errorID>1b02d2bc-cb2b-45c4-bdef-e5ab7de0d693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765B9A75</paraID>
      <start>1</start>
      <end>2</end>
      <status>unmodified</status>
      <modifiedWord/>
      <trackRevisions>false</trackRevisions>
    </reviewItem>
    <reviewItem>
      <errorID>1cf19294-7163-4a18-a78d-9fb2883b2107</errorID>
      <errorWord>,</errorWord>
      <group>L1_Format</group>
      <groupName>格式问题</groupName>
      <ability>L2_HalfPunc_CN</ability>
      <abilityName>全半角问题</abilityName>
      <candidateList>
        <item>，</item>
      </candidateList>
      <explain>文本全半角错误。</explain>
      <paraID>765E1B4D</paraID>
      <start>12</start>
      <end>13</end>
      <status>unmodified</status>
      <modifiedWord/>
      <trackRevisions>false</trackRevisions>
    </reviewItem>
    <reviewItem>
      <errorID>e7bb7d23-0753-46e7-96b3-a3e240c96eb2</errorID>
      <errorWord>,</errorWord>
      <group>L1_Format</group>
      <groupName>格式问题</groupName>
      <ability>L2_HalfPunc_CN</ability>
      <abilityName>全半角问题</abilityName>
      <candidateList>
        <item>，</item>
      </candidateList>
      <explain>文本全半角错误。</explain>
      <paraID>765E1B4D</paraID>
      <start>26</start>
      <end>27</end>
      <status>unmodified</status>
      <modifiedWord/>
      <trackRevisions>false</trackRevisions>
    </reviewItem>
    <reviewItem>
      <errorID>3d93309b-6163-4e95-8f51-97c2e8c73421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5748898</paraID>
      <start>0</start>
      <end>2</end>
      <status>unmodified</status>
      <modifiedWord/>
      <trackRevisions>false</trackRevisions>
    </reviewItem>
    <reviewItem>
      <errorID>8b6beb5b-2938-4a8e-84e5-78111d0ee2ed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12ED43FF</paraID>
      <start>0</start>
      <end>2</end>
      <status>unmodified</status>
      <modifiedWord/>
      <trackRevisions>false</trackRevisions>
    </reviewItem>
    <reviewItem>
      <errorID>0b44ed96-d503-41f5-a570-27403ee40d70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69E13821</paraID>
      <start>0</start>
      <end>2</end>
      <status>unmodified</status>
      <modifiedWord/>
      <trackRevisions>false</trackRevisions>
    </reviewItem>
    <reviewItem>
      <errorID>68b91325-e0db-4509-9ab5-832d5cb44b41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27C5E7A3</paraID>
      <start>0</start>
      <end>2</end>
      <status>unmodified</status>
      <modifiedWord/>
      <trackRevisions>false</trackRevisions>
    </reviewItem>
    <reviewItem>
      <errorID>1da34c6e-efa2-44a0-9b33-b887bdc38b37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604BE31A</paraID>
      <start>0</start>
      <end>2</end>
      <status>unmodified</status>
      <modifiedWord/>
      <trackRevisions>false</trackRevisions>
    </reviewItem>
    <reviewItem>
      <errorID>84b4618d-d1b5-476f-96aa-4d95ce075399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5B69824B</paraID>
      <start>0</start>
      <end>2</end>
      <status>unmodified</status>
      <modifiedWord/>
      <trackRevisions>false</trackRevisions>
    </reviewItem>
    <reviewItem>
      <errorID>d959a68a-2656-4160-840e-04997b183321</errorID>
      <errorWord>作</errorWord>
      <group>L1_Word</group>
      <groupName>字词问题</groupName>
      <ability>L2_Typo</ability>
      <abilityName>字词错误</abilityName>
      <candidateList>
        <item>做</item>
      </candidateList>
      <explain>存在发音相同字词的误用。</explain>
      <paraID>5B69824B</paraID>
      <start>61</start>
      <end>62</end>
      <status>modified</status>
      <modifiedWord>做</modifiedWord>
      <trackRevisions>false</trackRevisions>
    </reviewItem>
    <reviewItem>
      <errorID>982f301a-7119-4484-a403-aca90ceceba8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3A3B233D</paraID>
      <start>171</start>
      <end>172</end>
      <status>unmodified</status>
      <modifiedWord/>
      <trackRevisions>false</trackRevisions>
    </reviewItem>
    <reviewItem>
      <errorID>b2fca3f1-c962-4d89-86f0-c6632998b760</errorID>
      <errorWord>（</errorWord>
      <group>L1_Punc</group>
      <groupName>标点问题</groupName>
      <ability>L2_Punc_CN</ability>
      <abilityName>标点符号问题</abilityName>
      <candidateList/>
      <explain>同一形式括号套用。</explain>
      <paraID>19D15C67</paraID>
      <start>33</start>
      <end>34</end>
      <status>unmodified</status>
      <modifiedWord/>
      <trackRevisions>false</trackRevisions>
    </reviewItem>
    <reviewItem>
      <errorID>3f8c6649-2f28-401f-9033-fb9d6e0a2a6d</errorID>
      <errorWord>）</errorWord>
      <group>L1_Punc</group>
      <groupName>标点问题</groupName>
      <ability>L2_Punc_CN</ability>
      <abilityName>标点符号问题</abilityName>
      <candidateList/>
      <explain>同一形式括号套用。</explain>
      <paraID>19D15C67</paraID>
      <start>36</start>
      <end>37</end>
      <status>unmodified</status>
      <modifiedWord/>
      <trackRevisions>false</trackRevisions>
    </reviewItem>
    <reviewItem>
      <errorID>c4712a77-b75f-41a2-8084-5f288ee892b0</errorID>
      <errorWord>:</errorWord>
      <group>L1_Format</group>
      <groupName>格式问题</groupName>
      <ability>L2_HalfPunc_CN</ability>
      <abilityName>全半角问题</abilityName>
      <candidateList>
        <item>：</item>
      </candidateList>
      <explain>文本全半角错误。</explain>
      <paraID>6C6007D3</paraID>
      <start>6</start>
      <end>7</end>
      <status>unmodified</status>
      <modifiedWord/>
      <trackRevisions>false</trackRevisions>
    </reviewItem>
    <reviewItem>
      <errorID>f37a513f-d24d-4779-8bb1-76b5877667c1</errorID>
      <errorWord>,</errorWord>
      <group>L1_Format</group>
      <groupName>格式问题</groupName>
      <ability>L2_HalfPunc_CN</ability>
      <abilityName>全半角问题</abilityName>
      <candidateList>
        <item>，</item>
      </candidateList>
      <explain>文本全半角错误。</explain>
      <paraID>2ACB31FA</paraID>
      <start>35</start>
      <end>36</end>
      <status>unmodified</status>
      <modifiedWord/>
      <trackRevisions>false</trackRevisions>
    </reviewItem>
    <reviewItem>
      <errorID>c8bd70c5-86e9-4bc1-95d4-05c9540e6e74</errorID>
      <errorWord>30前完成</errorWord>
      <group>L1_Word</group>
      <groupName>字词问题</groupName>
      <ability>L2_Typo</ability>
      <abilityName>字词错误</abilityName>
      <candidateList>
        <item>30日前完成</item>
      </candidateList>
      <explain/>
      <paraID>48172DAB</paraID>
      <start>134</start>
      <end>139</end>
      <status>unmodified</status>
      <modifiedWord/>
      <trackRevisions>false</trackRevisions>
    </reviewItem>
    <reviewItem>
      <errorID>58553f16-6d3a-4f14-ba27-7348a0911af7</errorID>
      <errorWord>、</errorWord>
      <group>L1_Punc</group>
      <groupName>标点问题</groupName>
      <ability>L2_Punc_CN</ability>
      <abilityName>标点符号问题</abilityName>
      <candidateList>
        <item>.</item>
      </candidateList>
      <explain/>
      <paraID>57ADCCD1</paraID>
      <start>1</start>
      <end>2</end>
      <status>unmodified</status>
      <modifiedWord/>
      <trackRevisions>false</trackRevisions>
    </reviewItem>
    <reviewItem>
      <errorID>b48d70b3-a0f4-4cd6-a2ef-0683080e14dd</errorID>
      <errorWord>、</errorWord>
      <group>L1_Punc</group>
      <groupName>标点问题</groupName>
      <ability>L2_Punc_CN</ability>
      <abilityName>标点符号问题</abilityName>
      <candidateList>
        <item>.</item>
      </candidateList>
      <explain/>
      <paraID>29BA9B04</paraID>
      <start>1</start>
      <end>2</end>
      <status>unmodified</status>
      <modifiedWord/>
      <trackRevisions>false</trackRevisions>
    </reviewItem>
    <reviewItem>
      <errorID>390794b6-eba8-431a-905b-c6dc0e69edee</errorID>
      <errorWord>:</errorWord>
      <group>L1_Format</group>
      <groupName>格式问题</groupName>
      <ability>L2_HalfPunc_CN</ability>
      <abilityName>全半角问题</abilityName>
      <candidateList>
        <item>：</item>
      </candidateList>
      <explain>文本全半角错误。</explain>
      <paraID>29BA9B04</paraID>
      <start>6</start>
      <end>7</end>
      <status>unmodified</status>
      <modifiedWord/>
      <trackRevisions>false</trackRevisions>
    </reviewItem>
    <reviewItem>
      <errorID>5d7ea73a-988b-47ff-b8c1-509304b82bab</errorID>
      <errorWord>、</errorWord>
      <group>L1_Punc</group>
      <groupName>标点问题</groupName>
      <ability>L2_Punc_CN</ability>
      <abilityName>标点符号问题</abilityName>
      <candidateList>
        <item>.</item>
      </candidateList>
      <explain/>
      <paraID>63C3C540</paraID>
      <start>1</start>
      <end>2</end>
      <status>unmodified</status>
      <modifiedWord/>
      <trackRevisions>false</trackRevisions>
    </reviewItem>
    <reviewItem>
      <errorID>14cb1d98-447c-4618-9354-2f210cdccfd5</errorID>
      <errorWord>:</errorWord>
      <group>L1_Format</group>
      <groupName>格式问题</groupName>
      <ability>L2_HalfPunc_CN</ability>
      <abilityName>全半角问题</abilityName>
      <candidateList>
        <item>：</item>
      </candidateList>
      <explain>文本全半角错误。</explain>
      <paraID>63C3C540</paraID>
      <start>6</start>
      <end>7</end>
      <status>unmodified</status>
      <modifiedWord/>
      <trackRevisions>false</trackRevisions>
    </reviewItem>
    <reviewItem>
      <errorID>866faedc-9ecf-47cb-86ad-0709c498f8d1</errorID>
      <errorWord>、</errorWord>
      <group>L1_Punc</group>
      <groupName>标点问题</groupName>
      <ability>L2_Punc_CN</ability>
      <abilityName>标点符号问题</abilityName>
      <candidateList>
        <item>.</item>
      </candidateList>
      <explain/>
      <paraID>533308F5</paraID>
      <start>1</start>
      <end>2</end>
      <status>unmodified</status>
      <modifiedWord/>
      <trackRevisions>false</trackRevisions>
    </reviewItem>
    <reviewItem>
      <errorID>a2f327bc-16e8-4ebc-95ab-6dc63d231a05</errorID>
      <errorWord>:</errorWord>
      <group>L1_Format</group>
      <groupName>格式问题</groupName>
      <ability>L2_HalfPunc_CN</ability>
      <abilityName>全半角问题</abilityName>
      <candidateList>
        <item>：</item>
      </candidateList>
      <explain>文本全半角错误。</explain>
      <paraID>533308F5</paraID>
      <start>6</start>
      <end>7</end>
      <status>unmodified</status>
      <modifiedWord/>
      <trackRevisions>false</trackRevisions>
    </reviewItem>
    <reviewItem>
      <errorID>4a975371-3780-45d9-9759-13234e7d6818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227B1677</paraID>
      <start>238</start>
      <end>239</end>
      <status>unmodified</status>
      <modifiedWord/>
      <trackRevisions>false</trackRevisions>
    </reviewItem>
    <reviewItem>
      <errorID>fdb14daf-663b-4edb-b249-0c7be2ebc950</errorID>
      <errorWord>、</errorWord>
      <group>L1_Punc</group>
      <groupName>标点问题</groupName>
      <ability>L2_Punc_CN</ability>
      <abilityName>标点符号问题</abilityName>
      <candidateList>
        <item>.</item>
      </candidateList>
      <explain/>
      <paraID>5A76A8E3</paraID>
      <start>1</start>
      <end>2</end>
      <status>unmodified</status>
      <modifiedWord/>
      <trackRevisions>false</trackRevisions>
    </reviewItem>
    <reviewItem>
      <errorID>35344e9e-2bf1-4b82-af5b-d9c119c905ce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523D4FD5</paraID>
      <start>0</start>
      <end>2</end>
      <status>unmodified</status>
      <modifiedWord/>
      <trackRevisions>false</trackRevisions>
    </reviewItem>
    <reviewItem>
      <errorID>b35374db-8378-479b-a222-3f4199626e62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7ED2767C</paraID>
      <start>0</start>
      <end>2</end>
      <status>unmodified</status>
      <modifiedWord/>
      <trackRevisions>false</trackRevisions>
    </reviewItem>
    <reviewItem>
      <errorID>23888320-a5ab-47f3-ac73-dae36e0678ed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32209B90</paraID>
      <start>0</start>
      <end>2</end>
      <status>unmodified</status>
      <modifiedWord/>
      <trackRevisions>false</trackRevisions>
    </reviewItem>
    <reviewItem>
      <errorID>82d4a884-31be-4b30-bc1f-6945464f89b1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385EC43C</paraID>
      <start>0</start>
      <end>2</end>
      <status>unmodified</status>
      <modifiedWord/>
      <trackRevisions>false</trackRevisions>
    </reviewItem>
    <reviewItem>
      <errorID>1dbb62b7-3ef6-4762-a944-d485e43c7085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3E3B6E9F</paraID>
      <start>0</start>
      <end>2</end>
      <status>unmodified</status>
      <modifiedWord/>
      <trackRevisions>false</trackRevisions>
    </reviewItem>
    <reviewItem>
      <errorID>44a1008c-bf6c-4ed0-8ac1-25657b6cf152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6711F0EA</paraID>
      <start>0</start>
      <end>2</end>
      <status>unmodified</status>
      <modifiedWord/>
      <trackRevisions>false</trackRevisions>
    </reviewItem>
    <reviewItem>
      <errorID>351178cb-d592-480f-b8f4-9fbee2db5b76</errorID>
      <errorWord>,</errorWord>
      <group>L1_Format</group>
      <groupName>格式问题</groupName>
      <ability>L2_HalfPunc_CN</ability>
      <abilityName>全半角问题</abilityName>
      <candidateList>
        <item>，</item>
      </candidateList>
      <explain>文本全半角错误。</explain>
      <paraID>6711F0EA</paraID>
      <start>66</start>
      <end>67</end>
      <status>unmodified</status>
      <modifiedWord/>
      <trackRevisions>false</trackRevisions>
    </reviewItem>
    <reviewItem>
      <errorID>cf969f4d-c5b1-428b-9b5c-fb6e5dec6d15</errorID>
      <errorWord>、</errorWord>
      <group>L1_Punc</group>
      <groupName>标点问题</groupName>
      <ability>L2_Punc_CN</ability>
      <abilityName>标点符号问题</abilityName>
      <candidateList>
        <item>.</item>
      </candidateList>
      <explain/>
      <paraID>66639E12</paraID>
      <start>1</start>
      <end>2</end>
      <status>unmodified</status>
      <modifiedWord/>
      <trackRevisions>false</trackRevisions>
    </reviewItem>
    <reviewItem>
      <errorID>d39effc7-88b1-492d-bffc-ca915e140ffb</errorID>
      <errorWord>:</errorWord>
      <group>L1_Format</group>
      <groupName>格式问题</groupName>
      <ability>L2_HalfPunc_CN</ability>
      <abilityName>全半角问题</abilityName>
      <candidateList>
        <item>：</item>
      </candidateList>
      <explain>文本全半角错误。</explain>
      <paraID>66639E12</paraID>
      <start>6</start>
      <end>7</end>
      <status>unmodified</status>
      <modifiedWord/>
      <trackRevisions>false</trackRevisions>
    </reviewItem>
    <reviewItem>
      <errorID>67288650-6943-4099-8ea5-7a4e3bca7fbf</errorID>
      <errorWord>、</errorWord>
      <group>L1_Punc</group>
      <groupName>标点问题</groupName>
      <ability>L2_Punc_CN</ability>
      <abilityName>标点符号问题</abilityName>
      <candidateList>
        <item>.</item>
      </candidateList>
      <explain/>
      <paraID>115EADF7</paraID>
      <start>1</start>
      <end>2</end>
      <status>unmodified</status>
      <modifiedWord/>
      <trackRevisions>false</trackRevisions>
    </reviewItem>
    <reviewItem>
      <errorID>5ba67ad2-d540-4de4-b0da-31cac7a28ee0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19E814AC</paraID>
      <start>44</start>
      <end>45</end>
      <status>unmodified</status>
      <modifiedWord/>
      <trackRevisions>false</trackRevisions>
    </reviewItem>
    <reviewItem>
      <errorID>8c36bc66-672c-43b7-9c60-76739d7d703c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6A1231FA</paraID>
      <start>67</start>
      <end>68</end>
      <status>unmodified</status>
      <modifiedWord/>
      <trackRevisions>false</trackRevisions>
    </reviewItem>
    <reviewItem>
      <errorID>b2e1d5c4-3340-4155-801a-bf6e813db49e</errorID>
      <errorWord>(</errorWord>
      <group>L1_Format</group>
      <groupName>格式问题</groupName>
      <ability>L2_HalfPunc_CN</ability>
      <abilityName>全半角问题</abilityName>
      <candidateList>
        <item>（</item>
      </candidateList>
      <explain>文本全半角错误。</explain>
      <paraID>617A68C1</paraID>
      <start>9</start>
      <end>10</end>
      <status>unmodified</status>
      <modifiedWord/>
      <trackRevisions>false</trackRevisions>
    </reviewItem>
    <reviewItem>
      <errorID>08f0bed3-5a82-4fd2-9963-c65698f991de</errorID>
      <errorWord>)</errorWord>
      <group>L1_Format</group>
      <groupName>格式问题</groupName>
      <ability>L2_HalfPunc_CN</ability>
      <abilityName>全半角问题</abilityName>
      <candidateList>
        <item>）</item>
      </candidateList>
      <explain>文本全半角错误。</explain>
      <paraID>617A68C1</paraID>
      <start>75</start>
      <end>76</end>
      <status>unmodified</status>
      <modifiedWord/>
      <trackRevisions>false</trackRevisions>
    </reviewItem>
    <reviewItem>
      <errorID>b084df2a-b22e-4eb5-bb52-8e23cf69e47f</errorID>
      <errorWord>(</errorWord>
      <group>L1_Format</group>
      <groupName>格式问题</groupName>
      <ability>L2_HalfPunc_CN</ability>
      <abilityName>全半角问题</abilityName>
      <candidateList>
        <item>（</item>
      </candidateList>
      <explain>文本全半角错误。</explain>
      <paraID>42661C21</paraID>
      <start>37</start>
      <end>38</end>
      <status>unmodified</status>
      <modifiedWord/>
      <trackRevisions>false</trackRevisions>
    </reviewItem>
    <reviewItem>
      <errorID>54437d69-8003-4459-a681-50bc63954513</errorID>
      <errorWord>)</errorWord>
      <group>L1_Format</group>
      <groupName>格式问题</groupName>
      <ability>L2_HalfPunc_CN</ability>
      <abilityName>全半角问题</abilityName>
      <candidateList>
        <item>）</item>
      </candidateList>
      <explain>文本全半角错误。</explain>
      <paraID>42661C21</paraID>
      <start>47</start>
      <end>48</end>
      <status>unmodified</status>
      <modifiedWord/>
      <trackRevisions>false</trackRevisions>
    </reviewItem>
    <reviewItem>
      <errorID>d0eb46bb-637f-4352-a161-8fcd442758d1</errorID>
      <errorWord>（</errorWord>
      <group>L1_Punc</group>
      <groupName>标点问题</groupName>
      <ability>L2_Punc_CN</ability>
      <abilityName>标点符号问题</abilityName>
      <candidateList/>
      <explain>同一形式括号套用。</explain>
      <paraID>6E956CB8</paraID>
      <start>9</start>
      <end>10</end>
      <status>unmodified</status>
      <modifiedWord/>
      <trackRevisions>false</trackRevisions>
    </reviewItem>
    <reviewItem>
      <errorID>608e7684-b425-4f60-88dd-642495cac405</errorID>
      <errorWord>）</errorWord>
      <group>L1_Punc</group>
      <groupName>标点问题</groupName>
      <ability>L2_Punc_CN</ability>
      <abilityName>标点符号问题</abilityName>
      <candidateList/>
      <explain>同一形式括号套用。</explain>
      <paraID>6E956CB8</paraID>
      <start>11</start>
      <end>12</end>
      <status>unmodified</status>
      <modifiedWord/>
      <trackRevisions>false</trackRevisions>
    </reviewItem>
    <reviewItem>
      <errorID>d3052833-b019-422b-8289-08a057fd9dce</errorID>
      <errorWord>（</errorWord>
      <group>L1_Punc</group>
      <groupName>标点问题</groupName>
      <ability>L2_Punc_CN</ability>
      <abilityName>标点符号问题</abilityName>
      <candidateList/>
      <explain>同一形式括号套用。</explain>
      <paraID>6E956CB8</paraID>
      <start>23</start>
      <end>24</end>
      <status>unmodified</status>
      <modifiedWord/>
      <trackRevisions>false</trackRevisions>
    </reviewItem>
    <reviewItem>
      <errorID>f0aa7367-9d07-4abc-8f93-3720ecd6bea6</errorID>
      <errorWord>）</errorWord>
      <group>L1_Punc</group>
      <groupName>标点问题</groupName>
      <ability>L2_Punc_CN</ability>
      <abilityName>标点符号问题</abilityName>
      <candidateList/>
      <explain>同一形式括号套用。</explain>
      <paraID>6E956CB8</paraID>
      <start>25</start>
      <end>26</end>
      <status>unmodified</status>
      <modifiedWord/>
      <trackRevisions>false</trackRevisions>
    </reviewItem>
    <reviewItem>
      <errorID>b7dbfa78-7562-40e8-983a-b41177e79b40</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4C10E06B</paraID>
      <start>37</start>
      <end>38</end>
      <status>unmodified</status>
      <modifiedWord/>
      <trackRevisions>false</trackRevisions>
    </reviewItem>
    <reviewItem>
      <errorID>993722c7-a446-4faa-b925-b665f67bb4aa</errorID>
      <errorWord>-</errorWord>
      <group>L1_Format</group>
      <groupName>格式问题</groupName>
      <ability>L2_HalfPunc_CN</ability>
      <abilityName>全半角问题</abilityName>
      <candidateList>
        <item>－</item>
      </candidateList>
      <explain>文本全半角错误。</explain>
      <paraID>6FB37EA3</paraID>
      <start>42</start>
      <end>43</end>
      <status>unmodified</status>
      <modifiedWord/>
      <trackRevisions>false</trackRevisions>
    </reviewItem>
    <reviewItem>
      <errorID>8299f02d-a834-4e57-90cc-0a32294f639c</errorID>
      <errorWord>)</errorWord>
      <group>L1_Format</group>
      <groupName>格式问题</groupName>
      <ability>L2_HalfPunc_CN</ability>
      <abilityName>全半角问题</abilityName>
      <candidateList>
        <item>）</item>
      </candidateList>
      <explain>文本全半角错误。</explain>
      <paraID>7E37277C</paraID>
      <start>2</start>
      <end>3</end>
      <status>unmodified</status>
      <modifiedWord/>
      <trackRevisions>false</trackRevisions>
    </reviewItem>
    <reviewItem>
      <errorID>c8a49199-9149-4938-ba2c-09bed9c36252</errorID>
      <errorWord>)</errorWord>
      <group>L1_Format</group>
      <groupName>格式问题</groupName>
      <ability>L2_HalfPunc_CN</ability>
      <abilityName>全半角问题</abilityName>
      <candidateList>
        <item>）</item>
      </candidateList>
      <explain>文本全半角错误。</explain>
      <paraID>758019D3</paraID>
      <start>2</start>
      <end>3</end>
      <status>unmodified</status>
      <modifiedWord/>
      <trackRevisions>false</trackRevisions>
    </reviewItem>
    <reviewItem>
      <errorID>60acc396-6f62-4f98-9a03-686b95fdbe1f</errorID>
      <errorWord>:</errorWord>
      <group>L1_Format</group>
      <groupName>格式问题</groupName>
      <ability>L2_HalfPunc_CN</ability>
      <abilityName>全半角问题</abilityName>
      <candidateList>
        <item>：</item>
      </candidateList>
      <explain>文本全半角错误。</explain>
      <paraID>3ABE202D</paraID>
      <start>22</start>
      <end>23</end>
      <status>unmodified</status>
      <modifiedWord/>
      <trackRevisions>false</trackRevisions>
    </reviewItem>
    <reviewItem>
      <errorID>c54b9a2c-d694-4c89-9c14-316175a61b93</errorID>
      <errorWord>;</errorWord>
      <group>L1_Format</group>
      <groupName>格式问题</groupName>
      <ability>L2_HalfPunc_CN</ability>
      <abilityName>全半角问题</abilityName>
      <candidateList>
        <item>；</item>
      </candidateList>
      <explain>文本全半角错误。</explain>
      <paraID> 732802C</paraID>
      <start>57</start>
      <end>58</end>
      <status>unmodified</status>
      <modifiedWord/>
      <trackRevisions>false</trackRevisions>
    </reviewItem>
    <reviewItem>
      <errorID>6c1309b3-87e4-4802-9080-5fdbb3bdcc93</errorID>
      <errorWord>法律、法规</errorWord>
      <group>L1_Word</group>
      <groupName>字词问题</groupName>
      <ability>L2_Typo</ability>
      <abilityName>字词错误</abilityName>
      <candidateList>
        <item>法律法规</item>
      </candidateList>
      <explain/>
      <paraID>19C4DA35</paraID>
      <start>2</start>
      <end>7</end>
      <status>unmodified</status>
      <modifiedWord/>
      <trackRevisions>false</trackRevisions>
    </reviewItem>
    <reviewItem>
      <errorID>0275c846-e195-4ac1-8e34-6831385a2a61</errorID>
      <errorWord>(</errorWord>
      <group>L1_Format</group>
      <groupName>格式问题</groupName>
      <ability>L2_HalfPunc_CN</ability>
      <abilityName>全半角问题</abilityName>
      <candidateList>
        <item>（</item>
      </candidateList>
      <explain>文本全半角错误。</explain>
      <paraID>59488201</paraID>
      <start>33</start>
      <end>34</end>
      <status>unmodified</status>
      <modifiedWord/>
      <trackRevisions>false</trackRevisions>
    </reviewItem>
    <reviewItem>
      <errorID>a95284e0-5a6e-404b-91cf-d1fbf7040476</errorID>
      <errorWord>),</errorWord>
      <group>L1_Format</group>
      <groupName>格式问题</groupName>
      <ability>L2_HalfPunc_CN</ability>
      <abilityName>全半角问题</abilityName>
      <candidateList>
        <item>），</item>
      </candidateList>
      <explain>文本全半角错误。</explain>
      <paraID>59488201</paraID>
      <start>49</start>
      <end>51</end>
      <status>unmodified</status>
      <modifiedWord/>
      <trackRevisions>false</trackRevisions>
    </reviewItem>
    <reviewItem>
      <errorID>5a196fdb-501d-4bde-b699-12e6c7174bd6</errorID>
      <errorWord>&lt;</errorWord>
      <group>L1_Format</group>
      <groupName>格式问题</groupName>
      <ability>L2_HalfPunc_CN</ability>
      <abilityName>全半角问题</abilityName>
      <candidateList>
        <item>〈</item>
      </candidateList>
      <explain>文本全半角错误。</explain>
      <paraID>2A9310DC</paraID>
      <start>50</start>
      <end>51</end>
      <status>unmodified</status>
      <modifiedWord/>
      <trackRevisions>false</trackRevisions>
    </reviewItem>
    <reviewItem>
      <errorID>7834a3ac-ffbb-413b-94ec-130440e9c103</errorID>
      <errorWord>&lt;</errorWord>
      <group>L1_Format</group>
      <groupName>格式问题</groupName>
      <ability>L2_HalfPunc_CN</ability>
      <abilityName>全半角问题</abilityName>
      <candidateList>
        <item>〈</item>
      </candidateList>
      <explain>文本全半角错误。</explain>
      <paraID>6DCCEEFF</paraID>
      <start>50</start>
      <end>51</end>
      <status>unmodified</status>
      <modifiedWord/>
      <trackRevisions>false</trackRevisions>
    </reviewItem>
    <reviewItem>
      <errorID>121d7189-dedd-4c17-b8ea-d72e666d96cf</errorID>
      <errorWord>&lt;</errorWord>
      <group>L1_Format</group>
      <groupName>格式问题</groupName>
      <ability>L2_HalfPunc_CN</ability>
      <abilityName>全半角问题</abilityName>
      <candidateList>
        <item>〈</item>
      </candidateList>
      <explain>文本全半角错误。</explain>
      <paraID>20E43D70</paraID>
      <start>35</start>
      <end>36</end>
      <status>unmodified</status>
      <modifiedWord/>
      <trackRevisions>false</trackRevisions>
    </reviewItem>
    <reviewItem>
      <errorID>b02dda1a-4988-4bfc-96ba-0db4d02f100c</errorID>
      <errorWord>(</errorWord>
      <group>L1_Format</group>
      <groupName>格式问题</groupName>
      <ability>L2_HalfPunc_CN</ability>
      <abilityName>全半角问题</abilityName>
      <candidateList>
        <item>（</item>
      </candidateList>
      <explain>文本全半角错误。</explain>
      <paraID>35F772A7</paraID>
      <start>38</start>
      <end>39</end>
      <status>unmodified</status>
      <modifiedWord/>
      <trackRevisions>false</trackRevisions>
    </reviewItem>
    <reviewItem>
      <errorID>428eb944-0483-42d8-865c-d5f0a320410b</errorID>
      <errorWord>)</errorWord>
      <group>L1_Format</group>
      <groupName>格式问题</groupName>
      <ability>L2_HalfPunc_CN</ability>
      <abilityName>全半角问题</abilityName>
      <candidateList>
        <item>）</item>
      </candidateList>
      <explain>文本全半角错误。</explain>
      <paraID>35F772A7</paraID>
      <start>41</start>
      <end>42</end>
      <status>unmodified</status>
      <modifiedWord/>
      <trackRevisions>false</trackRevisions>
    </reviewItem>
    <reviewItem>
      <errorID>c0e02a79-c68b-49b9-b623-b7aedaea2a45</errorID>
      <errorWord>(</errorWord>
      <group>L1_Format</group>
      <groupName>格式问题</groupName>
      <ability>L2_HalfPunc_CN</ability>
      <abilityName>全半角问题</abilityName>
      <candidateList>
        <item>（</item>
      </candidateList>
      <explain>文本全半角错误。</explain>
      <paraID> 45179C7</paraID>
      <start>11</start>
      <end>12</end>
      <status>unmodified</status>
      <modifiedWord/>
      <trackRevisions>false</trackRevisions>
    </reviewItem>
    <reviewItem>
      <errorID>788ac210-1a48-41c8-ba86-1de092443229</errorID>
      <errorWord>)</errorWord>
      <group>L1_Format</group>
      <groupName>格式问题</groupName>
      <ability>L2_HalfPunc_CN</ability>
      <abilityName>全半角问题</abilityName>
      <candidateList>
        <item>）</item>
      </candidateList>
      <explain>文本全半角错误。</explain>
      <paraID> 45179C7</paraID>
      <start>14</start>
      <end>15</end>
      <status>unmodified</status>
      <modifiedWord/>
      <trackRevisions>false</trackRevisions>
    </reviewItem>
    <reviewItem>
      <errorID>efbe0078-5542-47e6-98c1-69016ea898b6</errorID>
      <errorWord>》</errorWord>
      <group>L1_Word</group>
      <groupName>字词问题</groupName>
      <ability>L2_Typo</ability>
      <abilityName>字词错误</abilityName>
      <candidateList>
        <item>》等</item>
      </candidateList>
      <explain/>
      <paraID>4EDD7986</paraID>
      <start>121</start>
      <end>122</end>
      <status>unmodified</status>
      <modifiedWord/>
      <trackRevisions>false</trackRevisions>
    </reviewItem>
    <reviewItem>
      <errorID>b2cbfc15-bf41-49d9-b891-b3d5a38fd267</errorID>
      <errorWord>,</errorWord>
      <group>L1_Format</group>
      <groupName>格式问题</groupName>
      <ability>L2_HalfPunc_CN</ability>
      <abilityName>全半角问题</abilityName>
      <candidateList>
        <item>，</item>
      </candidateList>
      <explain>文本全半角错误。</explain>
      <paraID>2EFB6005</paraID>
      <start>43</start>
      <end>44</end>
      <status>unmodified</status>
      <modifiedWord/>
      <trackRevisions>false</trackRevisions>
    </reviewItem>
    <reviewItem>
      <errorID>07bca4e2-7256-4c18-9574-34930c43dc7f</errorID>
      <errorWord>(</errorWord>
      <group>L1_Format</group>
      <groupName>格式问题</groupName>
      <ability>L2_HalfPunc_CN</ability>
      <abilityName>全半角问题</abilityName>
      <candidateList>
        <item>（</item>
      </candidateList>
      <explain>文本全半角错误。</explain>
      <paraID> 1F79B52</paraID>
      <start>74</start>
      <end>75</end>
      <status>unmodified</status>
      <modifiedWord/>
      <trackRevisions>false</trackRevisions>
    </reviewItem>
    <reviewItem>
      <errorID>b33cc233-6765-46c9-a4e9-8100fe17542a</errorID>
      <errorWord>)</errorWord>
      <group>L1_Format</group>
      <groupName>格式问题</groupName>
      <ability>L2_HalfPunc_CN</ability>
      <abilityName>全半角问题</abilityName>
      <candidateList>
        <item>）</item>
      </candidateList>
      <explain>文本全半角错误。</explain>
      <paraID> 1F79B52</paraID>
      <start>85</start>
      <end>86</end>
      <status>unmodified</status>
      <modifiedWord/>
      <trackRevisions>false</trackRevisions>
    </reviewItem>
    <reviewItem>
      <errorID>013601f4-f183-4cc2-9b60-35165038a2a2</errorID>
      <errorWord>（2021）22号</errorWord>
      <group>L1_Knowledge</group>
      <groupName>知识性问题</groupName>
      <ability>L2_Knowledge</ability>
      <abilityName>其他知识</abilityName>
      <candidateList>
        <item>〔2021〕22号</item>
      </candidateList>
      <explain>发文字号格式错误。</explain>
      <paraID>443AFDA9</paraID>
      <start>41</start>
      <end>50</end>
      <status>unmodified</status>
      <modifiedWord/>
      <trackRevisions>false</trackRevisions>
    </reviewItem>
    <reviewItem>
      <errorID>442ef2be-757d-49ed-9c4d-8e0a9f6c5677</errorID>
      <errorWord>-</errorWord>
      <group>L1_Format</group>
      <groupName>格式问题</groupName>
      <ability>L2_HalfPunc_CN</ability>
      <abilityName>全半角问题</abilityName>
      <candidateList>
        <item>－</item>
      </candidateList>
      <explain>文本全半角错误。</explain>
      <paraID>443AFDA9</paraID>
      <start>87</start>
      <end>88</end>
      <status>unmodified</status>
      <modifiedWord/>
      <trackRevisions>false</trackRevisions>
    </reviewItem>
    <reviewItem>
      <errorID>5434fdc8-146a-42c9-97cf-d6fe8f2597c2</errorID>
      <errorWord>-</errorWord>
      <group>L1_Format</group>
      <groupName>格式问题</groupName>
      <ability>L2_HalfPunc_CN</ability>
      <abilityName>全半角问题</abilityName>
      <candidateList>
        <item>－</item>
      </candidateList>
      <explain>文本全半角错误。</explain>
      <paraID>443AFDA9</paraID>
      <start>92</start>
      <end>93</end>
      <status>unmodified</status>
      <modifiedWord/>
      <trackRevisions>false</trackRevisions>
    </reviewItem>
    <reviewItem>
      <errorID>19556549-bce1-4b2c-ae5d-26cd6b76d5b1</errorID>
      <errorWord>-</errorWord>
      <group>L1_Format</group>
      <groupName>格式问题</groupName>
      <ability>L2_HalfPunc_CN</ability>
      <abilityName>全半角问题</abilityName>
      <candidateList>
        <item>－</item>
      </candidateList>
      <explain>文本全半角错误。</explain>
      <paraID>443AFDA9</paraID>
      <start>99</start>
      <end>100</end>
      <status>unmodified</status>
      <modifiedWord/>
      <trackRevisions>false</trackRevisions>
    </reviewItem>
    <reviewItem>
      <errorID>5fd60687-d5ac-42cd-aacf-93bae50f7dd7</errorID>
      <errorWord>:</errorWord>
      <group>L1_Format</group>
      <groupName>格式问题</groupName>
      <ability>L2_HalfPunc_CN</ability>
      <abilityName>全半角问题</abilityName>
      <candidateList>
        <item>：</item>
      </candidateList>
      <explain>文本全半角错误。</explain>
      <paraID>443AFDA9</paraID>
      <start>104</start>
      <end>105</end>
      <status>unmodified</status>
      <modifiedWord/>
      <trackRevisions>false</trackRevisions>
    </reviewItem>
    <reviewItem>
      <errorID>d2c1c3e3-f51c-48e8-9697-9271b6840f38</errorID>
      <errorWord>-</errorWord>
      <group>L1_Format</group>
      <groupName>格式问题</groupName>
      <ability>L2_HalfPunc_CN</ability>
      <abilityName>全半角问题</abilityName>
      <candidateList>
        <item>－</item>
      </candidateList>
      <explain>文本全半角错误。</explain>
      <paraID>443AFDA9</paraID>
      <start>124</start>
      <end>125</end>
      <status>unmodified</status>
      <modifiedWord/>
      <trackRevisions>false</trackRevisions>
    </reviewItem>
    <reviewItem>
      <errorID>83804617-758c-465c-83e4-c63863a6e12b</errorID>
      <errorWord>-</errorWord>
      <group>L1_Format</group>
      <groupName>格式问题</groupName>
      <ability>L2_HalfPunc_CN</ability>
      <abilityName>全半角问题</abilityName>
      <candidateList>
        <item>－</item>
      </candidateList>
      <explain>文本全半角错误。</explain>
      <paraID>443AFDA9</paraID>
      <start>129</start>
      <end>130</end>
      <status>unmodified</status>
      <modifiedWord/>
      <trackRevisions>false</trackRevisions>
    </reviewItem>
    <reviewItem>
      <errorID>3603f96f-8d50-4815-9cd3-cb32ce05f426</errorID>
      <errorWord>-</errorWord>
      <group>L1_Format</group>
      <groupName>格式问题</groupName>
      <ability>L2_HalfPunc_CN</ability>
      <abilityName>全半角问题</abilityName>
      <candidateList>
        <item>－</item>
      </candidateList>
      <explain>文本全半角错误。</explain>
      <paraID>443AFDA9</paraID>
      <start>136</start>
      <end>137</end>
      <status>unmodified</status>
      <modifiedWord/>
      <trackRevisions>false</trackRevisions>
    </reviewItem>
    <reviewItem>
      <errorID>65987a53-a485-4b5c-a575-10b5c7eb68fd</errorID>
      <errorWord>-</errorWord>
      <group>L1_Format</group>
      <groupName>格式问题</groupName>
      <ability>L2_HalfPunc_CN</ability>
      <abilityName>全半角问题</abilityName>
      <candidateList>
        <item>－</item>
      </candidateList>
      <explain>文本全半角错误。</explain>
      <paraID>443AFDA9</paraID>
      <start>178</start>
      <end>179</end>
      <status>unmodified</status>
      <modifiedWord/>
      <trackRevisions>false</trackRevisions>
    </reviewItem>
    <reviewItem>
      <errorID>f3605568-296e-4341-8b72-1475cf8e1182</errorID>
      <errorWord>-</errorWord>
      <group>L1_Format</group>
      <groupName>格式问题</groupName>
      <ability>L2_HalfPunc_CN</ability>
      <abilityName>全半角问题</abilityName>
      <candidateList>
        <item>－</item>
      </candidateList>
      <explain>文本全半角错误。</explain>
      <paraID>443AFDA9</paraID>
      <start>187</start>
      <end>188</end>
      <status>unmodified</status>
      <modifiedWord/>
      <trackRevisions>false</trackRevisions>
    </reviewItem>
    <reviewItem>
      <errorID>d137cf9a-a3c1-43f9-a9eb-6981510c523e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53C240D9</paraID>
      <start>0</start>
      <end>2</end>
      <status>unmodified</status>
      <modifiedWord/>
      <trackRevisions>false</trackRevisions>
    </reviewItem>
    <reviewItem>
      <errorID>ee44aff5-11dd-467e-98d6-19c24bc0a9b2</errorID>
      <errorWord>浙江省省财政厅</errorWord>
      <group>L1_Knowledge</group>
      <groupName>知识性问题</groupName>
      <ability>L2_Knowledge</ability>
      <abilityName>其他知识</abilityName>
      <candidateList>
        <item>浙江省财政厅</item>
      </candidateList>
      <explain/>
      <paraID>7FBE60FD</paraID>
      <start>3</start>
      <end>10</end>
      <status>unmodified</status>
      <modifiedWord/>
      <trackRevisions>false</trackRevisions>
    </reviewItem>
    <reviewItem>
      <errorID>df1a1886-1e0a-4395-8658-eda323d9902f</errorID>
      <errorWord>)</errorWord>
      <group>L1_Format</group>
      <groupName>格式问题</groupName>
      <ability>L2_HalfPunc_CN</ability>
      <abilityName>全半角问题</abilityName>
      <candidateList>
        <item>）</item>
      </candidateList>
      <explain>文本全半角错误。</explain>
      <paraID>7FBE60FD</paraID>
      <start>52</start>
      <end>53</end>
      <status>unmodified</status>
      <modifiedWord/>
      <trackRevisions>false</trackRevisions>
    </reviewItem>
    <reviewItem>
      <errorID>c140e968-3922-4291-baab-726ace028973</errorID>
      <errorWord>〔2017〕 141号</errorWord>
      <group>L1_Knowledge</group>
      <groupName>知识性问题</groupName>
      <ability>L2_Knowledge</ability>
      <abilityName>其他知识</abilityName>
      <candidateList>
        <item>〔2017〕141号</item>
      </candidateList>
      <explain>发文字号格式错误。</explain>
      <paraID>30B43FD0</paraID>
      <start>40</start>
      <end>51</end>
      <status>unmodified</status>
      <modifiedWord/>
      <trackRevisions>false</trackRevisions>
    </reviewItem>
    <reviewItem>
      <errorID>5a342702-d479-4626-96c3-701045dce08a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58FD90F1</paraID>
      <start>0</start>
      <end>2</end>
      <status>unmodified</status>
      <modifiedWord/>
      <trackRevisions>false</trackRevisions>
    </reviewItem>
    <reviewItem>
      <errorID>53167b25-2778-4003-badc-ff534463117b</errorID>
      <errorWord>，：</errorWord>
      <group>L1_Punc</group>
      <groupName>标点问题</groupName>
      <ability>L2_Punc_CN</ability>
      <abilityName>标点符号问题</abilityName>
      <candidateList>
        <item>，</item>
      </candidateList>
      <explain/>
      <paraID>58FD90F1</paraID>
      <start>27</start>
      <end>29</end>
      <status>unmodified</status>
      <modifiedWord/>
      <trackRevisions>false</trackRevisions>
    </reviewItem>
    <reviewItem>
      <errorID>302961c2-cf87-429d-aed4-94f78cb52a97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42599E15</paraID>
      <start>0</start>
      <end>2</end>
      <status>unmodified</status>
      <modifiedWord/>
      <trackRevisions>false</trackRevisions>
    </reviewItem>
    <reviewItem>
      <errorID>8547a108-1d2a-4bc3-b3be-c82df6e5497f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403A805B</paraID>
      <start>0</start>
      <end>2</end>
      <status>unmodified</status>
      <modifiedWord/>
      <trackRevisions>false</trackRevisions>
    </reviewItem>
    <reviewItem>
      <errorID>198ee6b0-388b-4fe8-a87e-2b86b152555b</errorID>
      <errorWord>〔2017〕 141号</errorWord>
      <group>L1_Knowledge</group>
      <groupName>知识性问题</groupName>
      <ability>L2_Knowledge</ability>
      <abilityName>其他知识</abilityName>
      <candidateList>
        <item>〔2017〕141号</item>
      </candidateList>
      <explain>发文字号格式错误。</explain>
      <paraID>33879B9C</paraID>
      <start>49</start>
      <end>60</end>
      <status>unmodified</status>
      <modifiedWord/>
      <trackRevisions>false</trackRevisions>
    </reviewItem>
    <reviewItem>
      <errorID>df4c3fcd-346e-4516-a6b8-339cce4764da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25E7CBD5</paraID>
      <start>0</start>
      <end>2</end>
      <status>unmodified</status>
      <modifiedWord/>
      <trackRevisions>false</trackRevisions>
    </reviewItem>
    <reviewItem>
      <errorID>727b717a-0bc0-47f2-82cd-d9f8945e1f5b</errorID>
      <errorWord>,</errorWord>
      <group>L1_Format</group>
      <groupName>格式问题</groupName>
      <ability>L2_HalfPunc_CN</ability>
      <abilityName>全半角问题</abilityName>
      <candidateList>
        <item>，</item>
      </candidateList>
      <explain>文本全半角错误。</explain>
      <paraID> C1E3381</paraID>
      <start>13</start>
      <end>14</end>
      <status>unmodified</status>
      <modifiedWord/>
      <trackRevisions>false</trackRevisions>
    </reviewItem>
    <reviewItem>
      <errorID>1ebb605d-5003-4c4e-a337-c305c6b2c05b</errorID>
      <errorWord>万</errorWord>
      <group>L1_Word</group>
      <groupName>字词问题</groupName>
      <ability>L2_Typo</ability>
      <abilityName>字词错误</abilityName>
      <candidateList>
        <item>万元</item>
      </candidateList>
      <explain/>
      <paraID> C1E3381</paraID>
      <start>39</start>
      <end>40</end>
      <status>unmodified</status>
      <modifiedWord/>
      <trackRevisions>false</trackRevisions>
    </reviewItem>
    <reviewItem>
      <errorID>cbe6cc37-216c-4c7d-9f88-3eac73c9186a</errorID>
      <errorWord>,</errorWord>
      <group>L1_Format</group>
      <groupName>格式问题</groupName>
      <ability>L2_HalfPunc_CN</ability>
      <abilityName>全半角问题</abilityName>
      <candidateList>
        <item>，</item>
      </candidateList>
      <explain>文本全半角错误。</explain>
      <paraID>682EB0A5</paraID>
      <start>59</start>
      <end>60</end>
      <status>unmodified</status>
      <modifiedWord/>
      <trackRevisions>false</trackRevisions>
    </reviewItem>
    <reviewItem>
      <errorID>4cff0c41-d504-419c-8b3b-87182957c494</errorID>
      <errorWord>项</errorWord>
      <group>L1_Word</group>
      <groupName>字词问题</groupName>
      <ability>L2_Typo</ability>
      <abilityName>字词错误</abilityName>
      <candidateList>
        <item>项目</item>
      </candidateList>
      <explain>〈名〉事物分成的门类：服务～｜体育～｜建设～。</explain>
      <paraID>17243025</paraID>
      <start>0</start>
      <end>1</end>
      <status>unmodified</status>
      <modifiedWord/>
      <trackRevisions>false</trackRevisions>
    </reviewItem>
    <reviewItem>
      <errorID>3dc3bdc5-52a1-49a6-bedd-7ae5312e255c</errorID>
      <errorWord>－</errorWord>
      <group>L1_Format</group>
      <groupName>格式问题</groupName>
      <ability>L2_HalfPunc_CN</ability>
      <abilityName>全半角问题</abilityName>
      <candidateList>
        <item>-</item>
      </candidateList>
      <explain>文本全半角错误。</explain>
      <paraID>267337E4</paraID>
      <start>4</start>
      <end>5</end>
      <status>unmodified</status>
      <modifiedWord/>
      <trackRevisions>false</trackRevisions>
    </reviewItem>
    <reviewItem>
      <errorID>dd9042c3-7101-4af5-bc7f-1266013b0df4</errorID>
      <errorWord>简</errorWord>
      <group>L1_Word</group>
      <groupName>字词问题</groupName>
      <ability>L2_Typo</ability>
      <abilityName>字词错误</abilityName>
      <candidateList>
        <item>简单</item>
      </candidateList>
      <explain/>
      <paraID>4F8539BB</paraID>
      <start>2</start>
      <end>3</end>
      <status>unmodified</status>
      <modifiedWord/>
      <trackRevisions>false</trackRevisions>
    </reviewItem>
    <reviewItem>
      <errorID>21b75f61-0b5d-4243-b96c-ab9d762849f0</errorID>
      <errorWord>万</errorWord>
      <group>L1_Word</group>
      <groupName>字词问题</groupName>
      <ability>L2_Typo</ability>
      <abilityName>字词错误</abilityName>
      <candidateList>
        <item>万元</item>
      </candidateList>
      <explain/>
      <paraID>222EE126</paraID>
      <start>102</start>
      <end>103</end>
      <status>unmodified</status>
      <modifiedWord/>
      <trackRevisions>false</trackRevisions>
    </reviewItem>
    <reviewItem>
      <errorID>c702b0ef-9b10-466e-b07f-276c9cf9b5a9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3144E150</paraID>
      <start>0</start>
      <end>2</end>
      <status>unmodified</status>
      <modifiedWord/>
      <trackRevisions>false</trackRevisions>
    </reviewItem>
    <reviewItem>
      <errorID>d9cc0cdb-470a-49c8-bc62-0be300742889</errorID>
      <errorWord>(</errorWord>
      <group>L1_Format</group>
      <groupName>格式问题</groupName>
      <ability>L2_HalfPunc_CN</ability>
      <abilityName>全半角问题</abilityName>
      <candidateList>
        <item>（</item>
      </candidateList>
      <explain>文本全半角错误。</explain>
      <paraID> B4E0DAC</paraID>
      <start>27</start>
      <end>28</end>
      <status>unmodified</status>
      <modifiedWord/>
      <trackRevisions>false</trackRevisions>
    </reviewItem>
    <reviewItem>
      <errorID>532a163c-51c3-4444-a2cd-59754dcad5b0</errorID>
      <errorWord>)</errorWord>
      <group>L1_Format</group>
      <groupName>格式问题</groupName>
      <ability>L2_HalfPunc_CN</ability>
      <abilityName>全半角问题</abilityName>
      <candidateList>
        <item>）</item>
      </candidateList>
      <explain>文本全半角错误。</explain>
      <paraID> B4E0DAC</paraID>
      <start>35</start>
      <end>36</end>
      <status>unmodified</status>
      <modifiedWord/>
      <trackRevisions>false</trackRevisions>
    </reviewItem>
    <reviewItem>
      <errorID>4069d9f3-7ef2-4932-868e-bdf515871267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38043880</paraID>
      <start>0</start>
      <end>2</end>
      <status>unmodified</status>
      <modifiedWord/>
      <trackRevisions>false</trackRevisions>
    </reviewItem>
    <reviewItem>
      <errorID>83585fab-334d-43cd-b4e9-793ea3e28ca1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6EF8E27F</paraID>
      <start>0</start>
      <end>2</end>
      <status>unmodified</status>
      <modifiedWord/>
      <trackRevisions>false</trackRevisions>
    </reviewItem>
    <reviewItem>
      <errorID>20a47ecc-ccef-42f6-a567-1e41dbbed2c1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61CACFD6</paraID>
      <start>0</start>
      <end>2</end>
      <status>unmodified</status>
      <modifiedWord/>
      <trackRevisions>false</trackRevisions>
    </reviewItem>
    <reviewItem>
      <errorID>7cfac72a-e4c2-4128-9ce5-e34396cd3a15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67E5F794</paraID>
      <start>0</start>
      <end>2</end>
      <status>unmodified</status>
      <modifiedWord/>
      <trackRevisions>false</trackRevisions>
    </reviewItem>
    <reviewItem>
      <errorID>af6fc573-fd45-4e6a-a971-7be1a065c3d4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523CB36C</paraID>
      <start>0</start>
      <end>2</end>
      <status>unmodified</status>
      <modifiedWord/>
      <trackRevisions>false</trackRevisions>
    </reviewItem>
    <reviewItem>
      <errorID>9e74e310-fad2-41a7-9bc9-23ccd38ffd58</errorID>
      <errorWord>(</errorWord>
      <group>L1_Format</group>
      <groupName>格式问题</groupName>
      <ability>L2_HalfPunc_CN</ability>
      <abilityName>全半角问题</abilityName>
      <candidateList>
        <item>（</item>
      </candidateList>
      <explain>文本全半角错误。</explain>
      <paraID>523CB36C</paraID>
      <start>31</start>
      <end>32</end>
      <status>unmodified</status>
      <modifiedWord/>
      <trackRevisions>false</trackRevisions>
    </reviewItem>
    <reviewItem>
      <errorID>35321454-6f22-43e3-85d0-b633e8e61f27</errorID>
      <errorWord>)</errorWord>
      <group>L1_Format</group>
      <groupName>格式问题</groupName>
      <ability>L2_HalfPunc_CN</ability>
      <abilityName>全半角问题</abilityName>
      <candidateList>
        <item>）</item>
      </candidateList>
      <explain>文本全半角错误。</explain>
      <paraID>523CB36C</paraID>
      <start>34</start>
      <end>35</end>
      <status>unmodified</status>
      <modifiedWord/>
      <trackRevisions>false</trackRevisions>
    </reviewItem>
    <reviewItem>
      <errorID>bbec3f3c-3189-403f-8f11-e7c243c2a176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299427F3</paraID>
      <start>0</start>
      <end>2</end>
      <status>unmodified</status>
      <modifiedWord/>
      <trackRevisions>false</trackRevisions>
    </reviewItem>
    <reviewItem>
      <errorID>efe3dbfe-d6e2-4eaa-8c60-5cb5b6b6b441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6D5FFE7F</paraID>
      <start>0</start>
      <end>2</end>
      <status>unmodified</status>
      <modifiedWord/>
      <trackRevisions>false</trackRevisions>
    </reviewItem>
    <reviewItem>
      <errorID>ce654552-c7bd-4ae4-ad71-4d334bb94963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408A38A9</paraID>
      <start>0</start>
      <end>2</end>
      <status>unmodified</status>
      <modifiedWord/>
      <trackRevisions>false</trackRevisions>
    </reviewItem>
    <reviewItem>
      <errorID>05af0e3f-4d78-4532-be86-16c919c8cbd1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51B5BED0</paraID>
      <start>0</start>
      <end>2</end>
      <status>unmodified</status>
      <modifiedWord/>
      <trackRevisions>false</trackRevisions>
    </reviewItem>
    <reviewItem>
      <errorID>feed40b4-2ae3-46aa-9a4f-9399c4cc8b06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3EFE2351</paraID>
      <start>0</start>
      <end>2</end>
      <status>unmodified</status>
      <modifiedWord/>
      <trackRevisions>false</trackRevisions>
    </reviewItem>
    <reviewItem>
      <errorID>2e9b2898-58e8-473a-9f1e-0b939c6f6bf2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4D8C98DA</paraID>
      <start>0</start>
      <end>2</end>
      <status>unmodified</status>
      <modifiedWord/>
      <trackRevisions>false</trackRevisions>
    </reviewItem>
    <reviewItem>
      <errorID>852ffc89-73de-4e0e-9d96-fec636f6355f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8C8FF59</paraID>
      <start>0</start>
      <end>2</end>
      <status>unmodified</status>
      <modifiedWord/>
      <trackRevisions>false</trackRevisions>
    </reviewItem>
    <reviewItem>
      <errorID>358ed980-e1bb-48a6-8c22-822a98144a53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6ECAF81</paraID>
      <start>0</start>
      <end>2</end>
      <status>unmodified</status>
      <modifiedWord/>
      <trackRevisions>false</trackRevisions>
    </reviewItem>
    <reviewItem>
      <errorID>260f090c-6edb-4dc6-90f6-439802a6b796</errorID>
      <errorWord>(</errorWord>
      <group>L1_Format</group>
      <groupName>格式问题</groupName>
      <ability>L2_HalfPunc_CN</ability>
      <abilityName>全半角问题</abilityName>
      <candidateList>
        <item>（</item>
      </candidateList>
      <explain>文本全半角错误。</explain>
      <paraID> 6ECAF81</paraID>
      <start>72</start>
      <end>73</end>
      <status>unmodified</status>
      <modifiedWord/>
      <trackRevisions>false</trackRevisions>
    </reviewItem>
    <reviewItem>
      <errorID>7f48b193-076c-44ac-b561-626187fc0e8c</errorID>
      <errorWord>)</errorWord>
      <group>L1_Format</group>
      <groupName>格式问题</groupName>
      <ability>L2_HalfPunc_CN</ability>
      <abilityName>全半角问题</abilityName>
      <candidateList>
        <item>）</item>
      </candidateList>
      <explain>文本全半角错误。</explain>
      <paraID> 6ECAF81</paraID>
      <start>80</start>
      <end>81</end>
      <status>unmodified</status>
      <modifiedWord/>
      <trackRevisions>false</trackRevisions>
    </reviewItem>
    <reviewItem>
      <errorID>480dcb5c-28a7-41b4-b36e-8b2e37e9cf25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56F76B65</paraID>
      <start>0</start>
      <end>2</end>
      <status>unmodified</status>
      <modifiedWord/>
      <trackRevisions>false</trackRevisions>
    </reviewItem>
    <reviewItem>
      <errorID>3738b84d-8aa6-477a-9c17-13c4e30ee0b2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78ADE7FC</paraID>
      <start>0</start>
      <end>2</end>
      <status>unmodified</status>
      <modifiedWord/>
      <trackRevisions>false</trackRevisions>
    </reviewItem>
    <reviewItem>
      <errorID>bc517067-e21f-401d-94d6-16adbd0703e7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3F02D35D</paraID>
      <start>0</start>
      <end>2</end>
      <status>unmodified</status>
      <modifiedWord/>
      <trackRevisions>false</trackRevisions>
    </reviewItem>
    <reviewItem>
      <errorID>292d16c5-7967-4422-bd26-df90cb01d608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2A922C94</paraID>
      <start>0</start>
      <end>2</end>
      <status>unmodified</status>
      <modifiedWord/>
      <trackRevisions>false</trackRevisions>
    </reviewItem>
    <reviewItem>
      <errorID>868495b2-46e8-4c71-8c77-6c81b40245f9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7C2F0473</paraID>
      <start>0</start>
      <end>2</end>
      <status>unmodified</status>
      <modifiedWord/>
      <trackRevisions>false</trackRevisions>
    </reviewItem>
    <reviewItem>
      <errorID>449e5b7c-3cf2-47be-824e-b0ac6e5a6f5f</errorID>
      <errorWord>，并</errorWord>
      <group>L1_Word</group>
      <groupName>字词问题</groupName>
      <ability>L2_Typo</ability>
      <abilityName>字词错误</abilityName>
      <candidateList>
        <item>，</item>
      </candidateList>
      <explain/>
      <paraID>3B33C779</paraID>
      <start>13</start>
      <end>15</end>
      <status>unmodified</status>
      <modifiedWord/>
      <trackRevisions>false</trackRevisions>
    </reviewItem>
    <reviewItem>
      <errorID>72440efd-99ff-4010-b7db-ec5669eb7102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74A1276D</paraID>
      <start>0</start>
      <end>2</end>
      <status>unmodified</status>
      <modifiedWord/>
      <trackRevisions>false</trackRevisions>
    </reviewItem>
    <reviewItem>
      <errorID>c7d9db9d-a0d0-43c8-8443-c5fa4c449bac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2C591421</paraID>
      <start>0</start>
      <end>2</end>
      <status>unmodified</status>
      <modifiedWord/>
      <trackRevisions>false</trackRevisions>
    </reviewItem>
    <reviewItem>
      <errorID>418202e9-57c4-498f-b3a4-85be219afeb0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1ECFE811</paraID>
      <start>0</start>
      <end>2</end>
      <status>unmodified</status>
      <modifiedWord/>
      <trackRevisions>false</trackRevisions>
    </reviewItem>
    <reviewItem>
      <errorID>12ef0d98-82f1-4fb2-a0fa-73a60d755ac5</errorID>
      <errorWord>.</errorWord>
      <group>L1_Punc</group>
      <groupName>标点问题</groupName>
      <ability>L2_Punc_CN</ability>
      <abilityName>标点符号问题</abilityName>
      <candidateList/>
      <explain/>
      <paraID>332E1BC2</paraID>
      <start>0</start>
      <end>1</end>
      <status>unmodified</status>
      <modifiedWord/>
      <trackRevisions>false</trackRevisions>
    </reviewItem>
    <reviewItem>
      <errorID>bb67cc93-1829-433d-add3-4c8a9b4b1367</errorID>
      <errorWord>.</errorWord>
      <group>L1_Punc</group>
      <groupName>标点问题</groupName>
      <ability>L2_Punc_CN</ability>
      <abilityName>标点符号问题</abilityName>
      <candidateList/>
      <explain/>
      <paraID>2B14EA4D</paraID>
      <start>0</start>
      <end>1</end>
      <status>unmodified</status>
      <modifiedWord/>
      <trackRevisions>false</trackRevisions>
    </reviewItem>
    <reviewItem>
      <errorID>16b9f019-4e09-479b-861f-05d5e4468b87</errorID>
      <errorWord>.</errorWord>
      <group>L1_Punc</group>
      <groupName>标点问题</groupName>
      <ability>L2_Punc_CN</ability>
      <abilityName>标点符号问题</abilityName>
      <candidateList/>
      <explain/>
      <paraID> 46CCF58</paraID>
      <start>0</start>
      <end>1</end>
      <status>unmodified</status>
      <modifiedWord/>
      <trackRevisions>false</trackRevisions>
    </reviewItem>
    <reviewItem>
      <errorID>d091f721-43e3-4702-93ea-ecad200500ea</errorID>
      <errorWord>.</errorWord>
      <group>L1_Punc</group>
      <groupName>标点问题</groupName>
      <ability>L2_Punc_CN</ability>
      <abilityName>标点符号问题</abilityName>
      <candidateList/>
      <explain/>
      <paraID>6D52CF3F</paraID>
      <start>0</start>
      <end>1</end>
      <status>unmodified</status>
      <modifiedWord/>
      <trackRevisions>false</trackRevisions>
    </reviewItem>
    <reviewItem>
      <errorID>16d5a1c7-0a64-45f6-807c-964046840525</errorID>
      <errorWord>.</errorWord>
      <group>L1_Punc</group>
      <groupName>标点问题</groupName>
      <ability>L2_Punc_CN</ability>
      <abilityName>标点符号问题</abilityName>
      <candidateList/>
      <explain/>
      <paraID>53D9382E</paraID>
      <start>0</start>
      <end>1</end>
      <status>unmodified</status>
      <modifiedWord/>
      <trackRevisions>false</trackRevisions>
    </reviewItem>
    <reviewItem>
      <errorID>279146e0-f08d-4f2a-84cf-d40a929398d4</errorID>
      <errorWord>.</errorWord>
      <group>L1_Punc</group>
      <groupName>标点问题</groupName>
      <ability>L2_Punc_CN</ability>
      <abilityName>标点符号问题</abilityName>
      <candidateList/>
      <explain/>
      <paraID>6E818AEC</paraID>
      <start>0</start>
      <end>1</end>
      <status>unmodified</status>
      <modifiedWord/>
      <trackRevisions>false</trackRevisions>
    </reviewItem>
    <reviewItem>
      <errorID>8d4a970d-44bf-450e-84d0-b12e8dfe126d</errorID>
      <errorWord>.</errorWord>
      <group>L1_Punc</group>
      <groupName>标点问题</groupName>
      <ability>L2_Punc_CN</ability>
      <abilityName>标点符号问题</abilityName>
      <candidateList/>
      <explain/>
      <paraID>75B0E9D6</paraID>
      <start>0</start>
      <end>1</end>
      <status>unmodified</status>
      <modifiedWord/>
      <trackRevisions>false</trackRevisions>
    </reviewItem>
    <reviewItem>
      <errorID>f12c55e9-60a1-4a58-8e96-cef953a973cc</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 B35EBF6</paraID>
      <start>5</start>
      <end>22</end>
      <status>unmodified</status>
      <modifiedWord/>
      <trackRevisions>false</trackRevisions>
    </reviewItem>
    <reviewItem>
      <errorID>0be624cf-f01b-428d-b6fe-a61611e79a82</errorID>
      <errorWord>)</errorWord>
      <group>L1_Format</group>
      <groupName>格式问题</groupName>
      <ability>L2_HalfPunc_CN</ability>
      <abilityName>全半角问题</abilityName>
      <candidateList>
        <item>）</item>
      </candidateList>
      <explain>文本全半角错误。</explain>
      <paraID>795024C3</paraID>
      <start>32</start>
      <end>33</end>
      <status>unmodified</status>
      <modifiedWord/>
      <trackRevisions>false</trackRevisions>
    </reviewItem>
    <reviewItem>
      <errorID>6c37c678-3700-44c5-b76c-0f7725e4f97e</errorID>
      <errorWord>[2013]24号</errorWord>
      <group>L1_Knowledge</group>
      <groupName>知识性问题</groupName>
      <ability>L2_Knowledge</ability>
      <abilityName>其他知识</abilityName>
      <candidateList>
        <item>〔2013〕24号</item>
      </candidateList>
      <explain>发文字号格式错误。</explain>
      <paraID>408F66FB</paraID>
      <start>34</start>
      <end>43</end>
      <status>unmodified</status>
      <modifiedWord/>
      <trackRevisions>false</trackRevisions>
    </reviewItem>
    <reviewItem>
      <errorID>26d7410a-e0a3-40f2-91ee-6bbae0fa93d4</errorID>
      <errorWord>印</errorWord>
      <group>L1_Word</group>
      <groupName>字词问题</groupName>
      <ability>L2_Typo</ability>
      <abilityName>字词错误</abilityName>
      <candidateList>
        <item>印件</item>
      </candidateList>
      <explain/>
      <paraID>3D8B864F</paraID>
      <start>12</start>
      <end>13</end>
      <status>unmodified</status>
      <modifiedWord/>
      <trackRevisions>false</trackRevisions>
    </reviewItem>
    <reviewItem>
      <errorID>042c93b4-844d-4a9b-8eff-7059172d9420</errorID>
      <errorWord>印</errorWord>
      <group>L1_Word</group>
      <groupName>字词问题</groupName>
      <ability>L2_Typo</ability>
      <abilityName>字词错误</abilityName>
      <candidateList>
        <item>印件</item>
      </candidateList>
      <explain/>
      <paraID>3D3A3A5D</paraID>
      <start>8</start>
      <end>9</end>
      <status>unmodified</status>
      <modifiedWord/>
      <trackRevisions>false</trackRevisions>
    </reviewItem>
    <reviewItem>
      <errorID>9172463e-77c6-435f-b559-0c4de890e151</errorID>
      <errorWord>(</errorWord>
      <group>L1_Format</group>
      <groupName>格式问题</groupName>
      <ability>L2_HalfPunc_CN</ability>
      <abilityName>全半角问题</abilityName>
      <candidateList>
        <item>（</item>
      </candidateList>
      <explain>文本全半角错误。</explain>
      <paraID>38E4DD79</paraID>
      <start>47</start>
      <end>48</end>
      <status>unmodified</status>
      <modifiedWord/>
      <trackRevisions>false</trackRevisions>
    </reviewItem>
    <reviewItem>
      <errorID>6387ae24-5cb7-4254-b798-efe08ae65603</errorID>
      <errorWord>)</errorWord>
      <group>L1_Format</group>
      <groupName>格式问题</groupName>
      <ability>L2_HalfPunc_CN</ability>
      <abilityName>全半角问题</abilityName>
      <candidateList>
        <item>）</item>
      </candidateList>
      <explain>文本全半角错误。</explain>
      <paraID>38E4DD79</paraID>
      <start>63</start>
      <end>64</end>
      <status>unmodified</status>
      <modifiedWord/>
      <trackRevisions>false</trackRevisions>
    </reviewItem>
    <reviewItem>
      <errorID>2afc51da-11d3-4018-9fd7-1d710e9370a6</errorID>
      <errorWord>(</errorWord>
      <group>L1_Format</group>
      <groupName>格式问题</groupName>
      <ability>L2_HalfPunc_CN</ability>
      <abilityName>全半角问题</abilityName>
      <candidateList>
        <item>（</item>
      </candidateList>
      <explain>文本全半角错误。</explain>
      <paraID>38E4DD79</paraID>
      <start>85</start>
      <end>86</end>
      <status>unmodified</status>
      <modifiedWord/>
      <trackRevisions>false</trackRevisions>
    </reviewItem>
    <reviewItem>
      <errorID>13b7223e-a19e-40fa-a846-b9f3f34fdcad</errorID>
      <errorWord>)</errorWord>
      <group>L1_Format</group>
      <groupName>格式问题</groupName>
      <ability>L2_HalfPunc_CN</ability>
      <abilityName>全半角问题</abilityName>
      <candidateList>
        <item>）</item>
      </candidateList>
      <explain>文本全半角错误。</explain>
      <paraID>38E4DD79</paraID>
      <start>101</start>
      <end>102</end>
      <status>unmodified</status>
      <modifiedWord/>
      <trackRevisions>false</trackRevisions>
    </reviewItem>
    <reviewItem>
      <errorID>bdd5038f-e10d-497c-8912-eee33712716f</errorID>
      <errorWord>(</errorWord>
      <group>L1_Format</group>
      <groupName>格式问题</groupName>
      <ability>L2_HalfPunc_CN</ability>
      <abilityName>全半角问题</abilityName>
      <candidateList>
        <item>（</item>
      </candidateList>
      <explain>文本全半角错误。</explain>
      <paraID>38E4DD79</paraID>
      <start>134</start>
      <end>135</end>
      <status>unmodified</status>
      <modifiedWord/>
      <trackRevisions>false</trackRevisions>
    </reviewItem>
    <reviewItem>
      <errorID>4c87ac91-59b8-45c8-a288-c9e9891a6b24</errorID>
      <errorWord>)</errorWord>
      <group>L1_Format</group>
      <groupName>格式问题</groupName>
      <ability>L2_HalfPunc_CN</ability>
      <abilityName>全半角问题</abilityName>
      <candidateList>
        <item>）</item>
      </candidateList>
      <explain>文本全半角错误。</explain>
      <paraID>38E4DD79</paraID>
      <start>150</start>
      <end>151</end>
      <status>unmodified</status>
      <modifiedWord/>
      <trackRevisions>false</trackRevisions>
    </reviewItem>
    <reviewItem>
      <errorID>b6d837bd-a5ef-48a0-be85-aa543a62a3b4</errorID>
      <errorWord>(</errorWord>
      <group>L1_Format</group>
      <groupName>格式问题</groupName>
      <ability>L2_HalfPunc_CN</ability>
      <abilityName>全半角问题</abilityName>
      <candidateList>
        <item>（</item>
      </candidateList>
      <explain>文本全半角错误。</explain>
      <paraID>38E4DD79</paraID>
      <start>175</start>
      <end>176</end>
      <status>unmodified</status>
      <modifiedWord/>
      <trackRevisions>false</trackRevisions>
    </reviewItem>
    <reviewItem>
      <errorID>24309adc-a97f-4c70-9b72-462db01f976d</errorID>
      <errorWord>)</errorWord>
      <group>L1_Format</group>
      <groupName>格式问题</groupName>
      <ability>L2_HalfPunc_CN</ability>
      <abilityName>全半角问题</abilityName>
      <candidateList>
        <item>）</item>
      </candidateList>
      <explain>文本全半角错误。</explain>
      <paraID>38E4DD79</paraID>
      <start>190</start>
      <end>191</end>
      <status>unmodified</status>
      <modifiedWord/>
      <trackRevisions>false</trackRevisions>
    </reviewItem>
    <reviewItem>
      <errorID>58a3467b-7654-44fa-bc27-964b1be2d1b2</errorID>
      <errorWord>(</errorWord>
      <group>L1_Format</group>
      <groupName>格式问题</groupName>
      <ability>L2_HalfPunc_CN</ability>
      <abilityName>全半角问题</abilityName>
      <candidateList>
        <item>（</item>
      </candidateList>
      <explain>文本全半角错误。</explain>
      <paraID>38E4DD79</paraID>
      <start>229</start>
      <end>230</end>
      <status>unmodified</status>
      <modifiedWord/>
      <trackRevisions>false</trackRevisions>
    </reviewItem>
    <reviewItem>
      <errorID>b588f39c-5d77-471b-b176-ef82affad7b9</errorID>
      <errorWord>)</errorWord>
      <group>L1_Format</group>
      <groupName>格式问题</groupName>
      <ability>L2_HalfPunc_CN</ability>
      <abilityName>全半角问题</abilityName>
      <candidateList>
        <item>）</item>
      </candidateList>
      <explain>文本全半角错误。</explain>
      <paraID>38E4DD79</paraID>
      <start>245</start>
      <end>246</end>
      <status>unmodified</status>
      <modifiedWord/>
      <trackRevisions>false</trackRevisions>
    </reviewItem>
    <reviewItem>
      <errorID>031b2aa9-03b5-47df-934e-a2e8d0abd870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38E4DD79</paraID>
      <start>300</start>
      <end>303</end>
      <status>unmodified</status>
      <modifiedWord/>
      <trackRevisions>false</trackRevisions>
    </reviewItem>
    <reviewItem>
      <errorID>9c1e9f07-829c-410f-8939-01363b01b9ee</errorID>
      <errorWord>牟取</errorWord>
      <group>L1_Word</group>
      <groupName>字词问题</groupName>
      <ability>L2_Typo</ability>
      <abilityName>字词错误</abilityName>
      <candidateList>
        <item>谋取</item>
      </candidateList>
      <explain>存在发音相同字词的误用。</explain>
      <paraID>458F80A7</paraID>
      <start>18</start>
      <end>20</end>
      <status>unmodified</status>
      <modifiedWord/>
      <trackRevisions>false</trackRevisions>
    </reviewItem>
    <reviewItem>
      <errorID>4afe2c2f-d6d8-4c6a-a569-adb183db4bfd</errorID>
      <errorWord>(</errorWord>
      <group>L1_Format</group>
      <groupName>格式问题</groupName>
      <ability>L2_HalfPunc_CN</ability>
      <abilityName>全半角问题</abilityName>
      <candidateList>
        <item>（</item>
      </candidateList>
      <explain>文本全半角错误。</explain>
      <paraID>458F80A7</paraID>
      <start>22</start>
      <end>23</end>
      <status>unmodified</status>
      <modifiedWord/>
      <trackRevisions>false</trackRevisions>
    </reviewItem>
    <reviewItem>
      <errorID>f08ec2c0-bfad-4fac-ad4a-cd91ad934df1</errorID>
      <errorWord>)</errorWord>
      <group>L1_Format</group>
      <groupName>格式问题</groupName>
      <ability>L2_HalfPunc_CN</ability>
      <abilityName>全半角问题</abilityName>
      <candidateList>
        <item>）</item>
      </candidateList>
      <explain>文本全半角错误。</explain>
      <paraID>458F80A7</paraID>
      <start>25</start>
      <end>26</end>
      <status>unmodified</status>
      <modifiedWord/>
      <trackRevisions>false</trackRevisions>
    </reviewItem>
    <reviewItem>
      <errorID>ff1cfc8f-1c19-447c-9595-91f0503594b5</errorID>
      <errorWord>(</errorWord>
      <group>L1_Format</group>
      <groupName>格式问题</groupName>
      <ability>L2_HalfPunc_CN</ability>
      <abilityName>全半角问题</abilityName>
      <candidateList>
        <item>（</item>
      </candidateList>
      <explain>文本全半角错误。</explain>
      <paraID>48641C9C</paraID>
      <start>27</start>
      <end>28</end>
      <status>unmodified</status>
      <modifiedWord/>
      <trackRevisions>false</trackRevisions>
    </reviewItem>
    <reviewItem>
      <errorID>4a4ea315-04d7-4020-b8e4-8712461d4a23</errorID>
      <errorWord>)</errorWord>
      <group>L1_Format</group>
      <groupName>格式问题</groupName>
      <ability>L2_HalfPunc_CN</ability>
      <abilityName>全半角问题</abilityName>
      <candidateList>
        <item>）</item>
      </candidateList>
      <explain>文本全半角错误。</explain>
      <paraID>48641C9C</paraID>
      <start>30</start>
      <end>31</end>
      <status>unmodified</status>
      <modifiedWord/>
      <trackRevisions>false</trackRevisions>
    </reviewItem>
    <reviewItem>
      <errorID>4b01e651-d8cd-4feb-b86e-b6ccb64a7d64</errorID>
      <errorWord>楚</errorWord>
      <group>L1_Word</group>
      <groupName>字词问题</groupName>
      <ability>L2_Typo</ability>
      <abilityName>字词错误</abilityName>
      <candidateList>
        <item>楚地</item>
      </candidateList>
      <explain/>
      <paraID>3DD2E6DC</paraID>
      <start>5</start>
      <end>6</end>
      <status>unmodified</status>
      <modifiedWord/>
      <trackRevisions>false</trackRevisions>
    </reviewItem>
    <reviewItem>
      <errorID>a9cd226a-64a5-448e-a0f7-f0afa788cc0f</errorID>
      <errorWord>业绩的</errorWord>
      <group>L1_Word</group>
      <groupName>字词问题</groupName>
      <ability>L2_Typo</ability>
      <abilityName>字词错误</abilityName>
      <candidateList>
        <item>业绩</item>
      </candidateList>
      <explain/>
      <paraID>119E9AE3</paraID>
      <start>27</start>
      <end>30</end>
      <status>unmodified</status>
      <modifiedWord/>
      <trackRevisions>false</trackRevisions>
    </reviewItem>
    <reviewItem>
      <errorID>8012bd15-a6a3-462e-927d-c1f17dea5152</errorID>
      <errorWord>超过50周岁且具有3年以上</errorWord>
      <group>L1_Grammar</group>
      <groupName>语法问题</groupName>
      <ability>L2_Grammar</ability>
      <abilityName>语法错误</abilityName>
      <candidateList>
        <item>超过50周岁且具有3年</item>
      </candidateList>
      <explain>该表达中的“超过50周岁且具有3年以上”存在语义重复。</explain>
      <paraID>2BF59880</paraID>
      <start>12</start>
      <end>25</end>
      <status>unmodified</status>
      <modifiedWord/>
      <trackRevisions>false</trackRevisions>
    </reviewItem>
    <reviewItem>
      <errorID>e942ee1c-4890-4ac5-b663-77df1e3d0193</errorID>
      <errorWord>,,</errorWord>
      <group>L1_Punc</group>
      <groupName>标点问题</groupName>
      <ability>L2_Punc_CN</ability>
      <abilityName>标点符号问题</abilityName>
      <candidateList>
        <item>,</item>
      </candidateList>
      <explain/>
      <paraID>7C57CFD3</paraID>
      <start>78</start>
      <end>80</end>
      <status>unmodified</status>
      <modifiedWord/>
      <trackRevisions>false</trackRevisions>
    </reviewItem>
  </reviewItems>
  <config/>
</contractReview>
</file>

<file path=customXml/item3.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a2a6a8-71af-44d0-9cef-33665f0e6e71}">
  <ds:schemaRefs/>
</ds:datastoreItem>
</file>

<file path=customXml/itemProps3.xml><?xml version="1.0" encoding="utf-8"?>
<ds:datastoreItem xmlns:ds="http://schemas.openxmlformats.org/officeDocument/2006/customXml" ds:itemID="{DFA92248-D8D3-42EE-8ED6-2717BC08A033}">
  <ds:schemaRefs/>
</ds:datastoreItem>
</file>

<file path=docProps/app.xml><?xml version="1.0" encoding="utf-8"?>
<Properties xmlns="http://schemas.openxmlformats.org/officeDocument/2006/extended-properties" xmlns:vt="http://schemas.openxmlformats.org/officeDocument/2006/docPropsVTypes">
  <Template>Normal.eit</Template>
  <Pages>56</Pages>
  <Words>219</Words>
  <Characters>535</Characters>
  <Lines>0</Lines>
  <Paragraphs>791</Paragraphs>
  <TotalTime>1</TotalTime>
  <ScaleCrop>false</ScaleCrop>
  <LinksUpToDate>false</LinksUpToDate>
  <CharactersWithSpaces>537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2022-06-09T19:54:00Z</dcterms:created>
  <dc:creator>huawei</dc:creator>
  <cp:lastModifiedBy>WKY</cp:lastModifiedBy>
  <cp:lastPrinted>2024-10-17T02:07:00Z</cp:lastPrinted>
  <dcterms:modified xsi:type="dcterms:W3CDTF">2026-06-15T06:49:53Z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67BB07699A9F4CDFA09821344B958282_13</vt:lpwstr>
  </property>
  <property fmtid="{D5CDD505-2E9C-101B-9397-08002B2CF9AE}" pid="4" name="KSOTemplateDocerSaveRecord">
    <vt:lpwstr>eyJoZGlkIjoiYjJjOTQxYzhjODMyMDAzZmE0MDJkMWFkNmJlNDkwYTUiLCJ1c2VySWQiOiIzNzIxNDYxODcifQ==</vt:lpwstr>
  </property>
</Properties>
</file>