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BD968">
      <w:pPr>
        <w:rPr>
          <w:rFonts w:hint="eastAsia"/>
          <w:b/>
          <w:bCs/>
          <w:color w:val="auto"/>
          <w:sz w:val="22"/>
          <w:szCs w:val="22"/>
          <w:highlight w:val="none"/>
          <w:lang w:val="en-US" w:eastAsia="zh-CN"/>
        </w:rPr>
      </w:pPr>
      <w:r>
        <w:rPr>
          <w:rFonts w:hint="eastAsia"/>
          <w:b/>
          <w:bCs/>
          <w:color w:val="auto"/>
          <w:sz w:val="22"/>
          <w:szCs w:val="22"/>
          <w:highlight w:val="none"/>
          <w:lang w:val="en-US" w:eastAsia="zh-CN"/>
        </w:rPr>
        <w:t>无人机采购项目</w:t>
      </w:r>
      <w:r>
        <w:rPr>
          <w:rFonts w:hint="eastAsia" w:asciiTheme="minorHAnsi" w:eastAsiaTheme="minorEastAsia"/>
          <w:b/>
          <w:bCs/>
          <w:color w:val="auto"/>
          <w:sz w:val="22"/>
          <w:szCs w:val="22"/>
          <w:highlight w:val="none"/>
          <w:lang w:val="en-US" w:eastAsia="zh-CN"/>
        </w:rPr>
        <w:t>（采购编号：</w:t>
      </w:r>
      <w:r>
        <w:rPr>
          <w:rFonts w:hint="eastAsia"/>
          <w:b/>
          <w:bCs/>
          <w:color w:val="auto"/>
          <w:sz w:val="22"/>
          <w:szCs w:val="22"/>
          <w:highlight w:val="none"/>
          <w:lang w:val="en-US" w:eastAsia="zh-CN"/>
        </w:rPr>
        <w:t>330329263460020000001-TSCG202605014</w:t>
      </w:r>
      <w:r>
        <w:rPr>
          <w:rFonts w:hint="eastAsia" w:asciiTheme="minorHAnsi" w:eastAsiaTheme="minorEastAsia"/>
          <w:b/>
          <w:bCs/>
          <w:color w:val="auto"/>
          <w:sz w:val="22"/>
          <w:szCs w:val="22"/>
          <w:highlight w:val="none"/>
          <w:lang w:val="en-US" w:eastAsia="zh-CN"/>
        </w:rPr>
        <w:t>）招标文件第七部分评标办法“（二）商务技术评分标准（满分70分）”第</w:t>
      </w:r>
      <w:r>
        <w:rPr>
          <w:rFonts w:hint="eastAsia"/>
          <w:b/>
          <w:bCs/>
          <w:color w:val="auto"/>
          <w:sz w:val="22"/>
          <w:szCs w:val="22"/>
          <w:highlight w:val="none"/>
          <w:lang w:val="en-US" w:eastAsia="zh-CN"/>
        </w:rPr>
        <w:t>1</w:t>
      </w:r>
      <w:r>
        <w:rPr>
          <w:rFonts w:hint="eastAsia" w:asciiTheme="minorHAnsi" w:eastAsiaTheme="minorEastAsia"/>
          <w:b/>
          <w:bCs/>
          <w:color w:val="auto"/>
          <w:sz w:val="22"/>
          <w:szCs w:val="22"/>
          <w:highlight w:val="none"/>
          <w:lang w:val="en-US" w:eastAsia="zh-CN"/>
        </w:rPr>
        <w:t>、</w:t>
      </w:r>
      <w:r>
        <w:rPr>
          <w:rFonts w:hint="eastAsia"/>
          <w:b/>
          <w:bCs/>
          <w:color w:val="auto"/>
          <w:sz w:val="22"/>
          <w:szCs w:val="22"/>
          <w:highlight w:val="none"/>
          <w:lang w:val="en-US" w:eastAsia="zh-CN"/>
        </w:rPr>
        <w:t>3、4</w:t>
      </w:r>
      <w:r>
        <w:rPr>
          <w:rFonts w:hint="eastAsia" w:asciiTheme="minorHAnsi" w:eastAsiaTheme="minorEastAsia"/>
          <w:b/>
          <w:bCs/>
          <w:color w:val="auto"/>
          <w:sz w:val="22"/>
          <w:szCs w:val="22"/>
          <w:highlight w:val="none"/>
          <w:lang w:val="en-US" w:eastAsia="zh-CN"/>
        </w:rPr>
        <w:t>项修改如下：</w:t>
      </w:r>
    </w:p>
    <w:p w14:paraId="1F322B2E">
      <w:pPr>
        <w:rPr>
          <w:rFonts w:hint="default"/>
          <w:b/>
          <w:bCs/>
          <w:color w:val="auto"/>
          <w:sz w:val="22"/>
          <w:szCs w:val="22"/>
          <w:highlight w:val="none"/>
          <w:lang w:val="en-US" w:eastAsia="zh-CN"/>
        </w:rPr>
      </w:pPr>
    </w:p>
    <w:p w14:paraId="18B93253">
      <w:pPr>
        <w:pStyle w:val="3"/>
        <w:ind w:left="0" w:leftChars="0" w:firstLine="0" w:firstLineChars="0"/>
        <w:rPr>
          <w:rFonts w:hint="default"/>
          <w:b/>
          <w:bCs/>
          <w:lang w:val="en-US" w:eastAsia="zh-CN"/>
        </w:rPr>
      </w:pPr>
      <w:r>
        <w:rPr>
          <w:rFonts w:hint="eastAsia"/>
          <w:b/>
          <w:bCs/>
          <w:lang w:val="en-US" w:eastAsia="zh-CN"/>
        </w:rPr>
        <w:t>更正前：</w:t>
      </w:r>
    </w:p>
    <w:tbl>
      <w:tblPr>
        <w:tblStyle w:val="4"/>
        <w:tblpPr w:leftFromText="180" w:rightFromText="180" w:vertAnchor="text" w:horzAnchor="page" w:tblpX="1359" w:tblpY="649"/>
        <w:tblOverlap w:val="never"/>
        <w:tblW w:w="9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827"/>
        <w:gridCol w:w="827"/>
        <w:gridCol w:w="7355"/>
      </w:tblGrid>
      <w:tr w14:paraId="3A4D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tcBorders>
              <w:top w:val="single" w:color="auto" w:sz="4" w:space="0"/>
              <w:left w:val="single" w:color="auto" w:sz="4" w:space="0"/>
              <w:bottom w:val="single" w:color="auto" w:sz="4" w:space="0"/>
              <w:right w:val="single" w:color="auto" w:sz="4" w:space="0"/>
              <w:tl2br w:val="nil"/>
              <w:tr2bl w:val="nil"/>
            </w:tcBorders>
            <w:noWrap/>
            <w:vAlign w:val="center"/>
          </w:tcPr>
          <w:p w14:paraId="5CF5FE5E">
            <w:pPr>
              <w:widowControl/>
              <w:ind w:left="0" w:leftChars="0" w:right="0" w:rightChars="0" w:firstLine="0" w:firstLineChars="0"/>
              <w:jc w:val="center"/>
              <w:textAlignment w:val="center"/>
              <w:rPr>
                <w:rFonts w:hint="eastAsia" w:ascii="宋体" w:hAnsi="宋体" w:eastAsia="宋体" w:cs="宋体"/>
                <w:b/>
                <w:color w:val="auto"/>
                <w:sz w:val="22"/>
                <w:szCs w:val="22"/>
                <w:highlight w:val="none"/>
              </w:rPr>
            </w:pPr>
            <w:r>
              <w:rPr>
                <w:rFonts w:ascii="宋体" w:hAnsi="宋体" w:eastAsia="宋体" w:cs="宋体"/>
                <w:b/>
                <w:color w:val="auto"/>
                <w:kern w:val="0"/>
                <w:sz w:val="22"/>
                <w:szCs w:val="22"/>
                <w:highlight w:val="none"/>
                <w:lang w:bidi="ar"/>
              </w:rPr>
              <w:t>序号</w:t>
            </w: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7399A7CE">
            <w:pPr>
              <w:widowControl/>
              <w:ind w:left="0" w:leftChars="0" w:right="0" w:rightChars="0" w:firstLine="0" w:firstLineChars="0"/>
              <w:jc w:val="center"/>
              <w:textAlignment w:val="center"/>
              <w:rPr>
                <w:rFonts w:hint="default" w:ascii="宋体" w:hAnsi="宋体" w:eastAsia="宋体" w:cs="宋体"/>
                <w:b/>
                <w:color w:val="auto"/>
                <w:kern w:val="0"/>
                <w:sz w:val="22"/>
                <w:szCs w:val="22"/>
                <w:highlight w:val="none"/>
                <w:lang w:val="en-US" w:eastAsia="zh-CN" w:bidi="ar"/>
              </w:rPr>
            </w:pPr>
            <w:r>
              <w:rPr>
                <w:rFonts w:hint="eastAsia" w:ascii="宋体" w:hAnsi="宋体" w:eastAsia="宋体" w:cs="宋体"/>
                <w:b/>
                <w:color w:val="auto"/>
                <w:kern w:val="0"/>
                <w:sz w:val="22"/>
                <w:szCs w:val="22"/>
                <w:highlight w:val="none"/>
                <w:lang w:val="en-US" w:eastAsia="zh-CN" w:bidi="ar"/>
              </w:rPr>
              <w:t>评审项</w:t>
            </w: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407DB117">
            <w:pPr>
              <w:widowControl/>
              <w:ind w:left="0" w:leftChars="0" w:right="0" w:rightChars="0" w:firstLine="0" w:firstLineChars="0"/>
              <w:jc w:val="center"/>
              <w:textAlignment w:val="center"/>
              <w:rPr>
                <w:rFonts w:hint="eastAsia" w:ascii="宋体" w:hAnsi="宋体" w:eastAsia="宋体" w:cs="宋体"/>
                <w:b/>
                <w:color w:val="auto"/>
                <w:sz w:val="22"/>
                <w:szCs w:val="22"/>
                <w:highlight w:val="none"/>
              </w:rPr>
            </w:pPr>
            <w:r>
              <w:rPr>
                <w:rFonts w:ascii="宋体" w:hAnsi="宋体" w:eastAsia="宋体" w:cs="宋体"/>
                <w:b/>
                <w:color w:val="auto"/>
                <w:kern w:val="0"/>
                <w:sz w:val="22"/>
                <w:szCs w:val="22"/>
                <w:highlight w:val="none"/>
                <w:lang w:bidi="ar"/>
              </w:rPr>
              <w:t>分值</w:t>
            </w:r>
          </w:p>
        </w:tc>
        <w:tc>
          <w:tcPr>
            <w:tcW w:w="7355" w:type="dxa"/>
            <w:tcBorders>
              <w:top w:val="single" w:color="auto" w:sz="4" w:space="0"/>
              <w:left w:val="single" w:color="auto" w:sz="4" w:space="0"/>
              <w:bottom w:val="single" w:color="auto" w:sz="4" w:space="0"/>
              <w:right w:val="single" w:color="auto" w:sz="4" w:space="0"/>
              <w:tl2br w:val="nil"/>
              <w:tr2bl w:val="nil"/>
            </w:tcBorders>
            <w:vAlign w:val="center"/>
          </w:tcPr>
          <w:p w14:paraId="40E2A3AD">
            <w:pPr>
              <w:widowControl/>
              <w:ind w:left="0" w:leftChars="0" w:right="0" w:rightChars="0" w:firstLine="0" w:firstLineChars="0"/>
              <w:jc w:val="center"/>
              <w:textAlignment w:val="center"/>
              <w:rPr>
                <w:rFonts w:hint="eastAsia" w:ascii="宋体" w:hAnsi="宋体" w:eastAsia="宋体" w:cs="宋体"/>
                <w:b/>
                <w:color w:val="auto"/>
                <w:sz w:val="22"/>
                <w:szCs w:val="22"/>
                <w:highlight w:val="none"/>
              </w:rPr>
            </w:pPr>
            <w:r>
              <w:rPr>
                <w:rFonts w:ascii="宋体" w:hAnsi="宋体" w:eastAsia="宋体" w:cs="宋体"/>
                <w:b/>
                <w:color w:val="auto"/>
                <w:kern w:val="0"/>
                <w:sz w:val="22"/>
                <w:szCs w:val="22"/>
                <w:highlight w:val="none"/>
                <w:lang w:bidi="ar"/>
              </w:rPr>
              <w:t>评分标准及细则</w:t>
            </w:r>
          </w:p>
        </w:tc>
      </w:tr>
      <w:tr w14:paraId="40CE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vMerge w:val="restart"/>
            <w:tcBorders>
              <w:top w:val="single" w:color="auto" w:sz="4" w:space="0"/>
              <w:left w:val="single" w:color="auto" w:sz="4" w:space="0"/>
              <w:right w:val="single" w:color="auto" w:sz="4" w:space="0"/>
              <w:tl2br w:val="nil"/>
              <w:tr2bl w:val="nil"/>
            </w:tcBorders>
            <w:noWrap/>
            <w:vAlign w:val="center"/>
          </w:tcPr>
          <w:p w14:paraId="03A7AFA6">
            <w:pPr>
              <w:ind w:left="0" w:leftChars="0" w:right="0" w:rightChars="0" w:firstLine="0" w:firstLineChars="0"/>
              <w:jc w:val="center"/>
              <w:rPr>
                <w:rFonts w:hint="eastAsia" w:ascii="宋体" w:hAnsi="宋体" w:eastAsia="宋体" w:cs="宋体"/>
                <w:color w:val="auto"/>
                <w:sz w:val="22"/>
                <w:szCs w:val="22"/>
                <w:highlight w:val="none"/>
              </w:rPr>
            </w:pPr>
            <w:r>
              <w:rPr>
                <w:rFonts w:ascii="宋体" w:hAnsi="宋体" w:eastAsia="宋体" w:cs="宋体"/>
                <w:color w:val="auto"/>
                <w:sz w:val="22"/>
                <w:szCs w:val="22"/>
                <w:highlight w:val="none"/>
              </w:rPr>
              <w:t>1</w:t>
            </w:r>
          </w:p>
        </w:tc>
        <w:tc>
          <w:tcPr>
            <w:tcW w:w="827" w:type="dxa"/>
            <w:vMerge w:val="restart"/>
            <w:tcBorders>
              <w:top w:val="single" w:color="auto" w:sz="4" w:space="0"/>
              <w:left w:val="single" w:color="auto" w:sz="4" w:space="0"/>
              <w:right w:val="single" w:color="auto" w:sz="4" w:space="0"/>
              <w:tl2br w:val="nil"/>
              <w:tr2bl w:val="nil"/>
            </w:tcBorders>
            <w:vAlign w:val="center"/>
          </w:tcPr>
          <w:p w14:paraId="5ACCE606">
            <w:pPr>
              <w:ind w:left="0" w:leftChars="0" w:right="0" w:rightChars="0" w:firstLine="0" w:firstLineChars="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投标人综合情况</w:t>
            </w: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5B98EF4B">
            <w:pPr>
              <w:ind w:left="0" w:leftChars="0" w:right="0" w:righ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7355" w:type="dxa"/>
            <w:tcBorders>
              <w:top w:val="single" w:color="auto" w:sz="4" w:space="0"/>
              <w:left w:val="single" w:color="auto" w:sz="4" w:space="0"/>
              <w:bottom w:val="single" w:color="auto" w:sz="4" w:space="0"/>
              <w:right w:val="single" w:color="auto" w:sz="4" w:space="0"/>
              <w:tl2br w:val="nil"/>
              <w:tr2bl w:val="nil"/>
            </w:tcBorders>
            <w:vAlign w:val="center"/>
          </w:tcPr>
          <w:p w14:paraId="6D047A00">
            <w:pPr>
              <w:widowControl/>
              <w:ind w:left="0" w:leftChars="0" w:right="0" w:rightChars="0" w:firstLine="0" w:firstLineChars="0"/>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投标人具有民用无人驾驶航空器运营合格证的得2分</w:t>
            </w:r>
          </w:p>
        </w:tc>
      </w:tr>
      <w:tr w14:paraId="0AFC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vMerge w:val="continue"/>
            <w:tcBorders>
              <w:left w:val="single" w:color="auto" w:sz="4" w:space="0"/>
              <w:right w:val="single" w:color="auto" w:sz="4" w:space="0"/>
              <w:tl2br w:val="nil"/>
              <w:tr2bl w:val="nil"/>
            </w:tcBorders>
            <w:noWrap/>
            <w:vAlign w:val="center"/>
          </w:tcPr>
          <w:p w14:paraId="08F24932">
            <w:pPr>
              <w:ind w:left="0" w:leftChars="0" w:right="0" w:rightChars="0" w:firstLine="0" w:firstLineChars="0"/>
              <w:jc w:val="center"/>
              <w:rPr>
                <w:rFonts w:hint="eastAsia" w:ascii="宋体" w:hAnsi="宋体" w:eastAsia="宋体" w:cs="宋体"/>
                <w:color w:val="auto"/>
                <w:sz w:val="22"/>
                <w:szCs w:val="22"/>
                <w:highlight w:val="none"/>
              </w:rPr>
            </w:pPr>
          </w:p>
        </w:tc>
        <w:tc>
          <w:tcPr>
            <w:tcW w:w="827" w:type="dxa"/>
            <w:vMerge w:val="continue"/>
            <w:tcBorders>
              <w:left w:val="single" w:color="auto" w:sz="4" w:space="0"/>
              <w:right w:val="single" w:color="auto" w:sz="4" w:space="0"/>
              <w:tl2br w:val="nil"/>
              <w:tr2bl w:val="nil"/>
            </w:tcBorders>
            <w:vAlign w:val="center"/>
          </w:tcPr>
          <w:p w14:paraId="7E8119A7">
            <w:pPr>
              <w:ind w:left="0" w:leftChars="0" w:right="0" w:rightChars="0" w:firstLine="0" w:firstLineChars="0"/>
              <w:jc w:val="center"/>
              <w:rPr>
                <w:rFonts w:hint="eastAsia" w:ascii="宋体" w:hAnsi="宋体" w:eastAsia="宋体" w:cs="宋体"/>
                <w:color w:val="auto"/>
                <w:sz w:val="22"/>
                <w:szCs w:val="22"/>
                <w:highlight w:val="none"/>
              </w:rPr>
            </w:pP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76A1CEF8">
            <w:pPr>
              <w:ind w:left="0" w:leftChars="0" w:right="0" w:righ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7355" w:type="dxa"/>
            <w:tcBorders>
              <w:top w:val="single" w:color="auto" w:sz="4" w:space="0"/>
              <w:left w:val="single" w:color="auto" w:sz="4" w:space="0"/>
              <w:bottom w:val="single" w:color="auto" w:sz="4" w:space="0"/>
              <w:right w:val="single" w:color="auto" w:sz="4" w:space="0"/>
              <w:tl2br w:val="nil"/>
              <w:tr2bl w:val="nil"/>
            </w:tcBorders>
            <w:vAlign w:val="center"/>
          </w:tcPr>
          <w:p w14:paraId="2F1391F5">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投标人具有ISO20000信息技术服务管理体系证书的得1分。</w:t>
            </w:r>
          </w:p>
          <w:p w14:paraId="7FA62986">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投标人具有ISO27001信息安全管理体系认证证书的得1分。</w:t>
            </w:r>
          </w:p>
          <w:p w14:paraId="2820EE1D">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投标人具有ISO27040数据储存安全认证证书的得1分。</w:t>
            </w:r>
          </w:p>
          <w:p w14:paraId="75F3AE73">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投标人具有ISO29151个人身份信息保护认证证书的得1分。</w:t>
            </w:r>
          </w:p>
          <w:p w14:paraId="60D5B4AB">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投标人具有ISO38505数据治理安全认证证书的得1分。</w:t>
            </w:r>
          </w:p>
          <w:p w14:paraId="61D250DF">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注：提供有效期内的认证证书原件扫描件或复印件，且证书认证机构须获得国家认证认可监督管理委员会的批准并在有效期内，认证范围需含“信息系统集成、信息系统软硬件维护”，附认证查询网页截图。</w:t>
            </w:r>
          </w:p>
        </w:tc>
      </w:tr>
      <w:tr w14:paraId="00A6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vMerge w:val="restart"/>
            <w:tcBorders>
              <w:left w:val="single" w:color="auto" w:sz="4" w:space="0"/>
              <w:right w:val="single" w:color="auto" w:sz="4" w:space="0"/>
              <w:tl2br w:val="nil"/>
              <w:tr2bl w:val="nil"/>
            </w:tcBorders>
            <w:shd w:val="clear" w:color="auto" w:fill="auto"/>
            <w:noWrap/>
            <w:vAlign w:val="center"/>
          </w:tcPr>
          <w:p w14:paraId="4959E590">
            <w:pPr>
              <w:widowControl/>
              <w:jc w:val="center"/>
              <w:textAlignment w:val="center"/>
              <w:rPr>
                <w:rFonts w:hint="eastAsia" w:ascii="宋体" w:hAnsi="宋体" w:cs="宋体" w:eastAsiaTheme="minorEastAsia"/>
                <w:color w:val="000000"/>
                <w:kern w:val="0"/>
                <w:sz w:val="22"/>
                <w:szCs w:val="22"/>
                <w:lang w:val="en-US" w:eastAsia="zh-CN" w:bidi="ar"/>
              </w:rPr>
            </w:pPr>
            <w:r>
              <w:rPr>
                <w:rFonts w:ascii="宋体" w:hAnsi="宋体" w:cs="宋体"/>
                <w:color w:val="000000"/>
                <w:kern w:val="0"/>
                <w:sz w:val="22"/>
                <w:szCs w:val="22"/>
                <w:lang w:bidi="ar"/>
              </w:rPr>
              <w:t>3</w:t>
            </w:r>
          </w:p>
        </w:tc>
        <w:tc>
          <w:tcPr>
            <w:tcW w:w="827" w:type="dxa"/>
            <w:vMerge w:val="restart"/>
            <w:tcBorders>
              <w:left w:val="single" w:color="auto" w:sz="4" w:space="0"/>
              <w:right w:val="single" w:color="auto" w:sz="4" w:space="0"/>
              <w:tl2br w:val="nil"/>
              <w:tr2bl w:val="nil"/>
            </w:tcBorders>
            <w:shd w:val="clear" w:color="auto" w:fill="auto"/>
            <w:vAlign w:val="center"/>
          </w:tcPr>
          <w:p w14:paraId="584C2834">
            <w:pPr>
              <w:widowControl/>
              <w:jc w:val="center"/>
              <w:textAlignment w:val="center"/>
              <w:rPr>
                <w:rFonts w:hint="eastAsia" w:ascii="宋体" w:hAnsi="宋体" w:cs="宋体" w:eastAsiaTheme="minorEastAsia"/>
                <w:color w:val="000000"/>
                <w:kern w:val="0"/>
                <w:sz w:val="22"/>
                <w:szCs w:val="22"/>
                <w:lang w:val="en-US" w:eastAsia="zh-CN" w:bidi="ar"/>
              </w:rPr>
            </w:pPr>
            <w:r>
              <w:rPr>
                <w:rFonts w:ascii="宋体" w:hAnsi="宋体" w:cs="宋体"/>
                <w:color w:val="000000"/>
                <w:sz w:val="22"/>
                <w:szCs w:val="22"/>
              </w:rPr>
              <w:t>技术服务力量</w:t>
            </w:r>
          </w:p>
        </w:tc>
        <w:tc>
          <w:tcPr>
            <w:tcW w:w="827" w:type="dxa"/>
            <w:vMerge w:val="restart"/>
            <w:tcBorders>
              <w:top w:val="single" w:color="auto" w:sz="4" w:space="0"/>
              <w:left w:val="single" w:color="auto" w:sz="4" w:space="0"/>
              <w:right w:val="single" w:color="auto" w:sz="4" w:space="0"/>
              <w:tl2br w:val="nil"/>
              <w:tr2bl w:val="nil"/>
            </w:tcBorders>
            <w:shd w:val="clear" w:color="auto" w:fill="auto"/>
            <w:vAlign w:val="center"/>
          </w:tcPr>
          <w:p w14:paraId="3A120BB5">
            <w:pPr>
              <w:widowControl/>
              <w:jc w:val="center"/>
              <w:textAlignment w:val="center"/>
              <w:rPr>
                <w:rFonts w:hint="eastAsia" w:ascii="宋体" w:hAnsi="宋体" w:cs="宋体" w:eastAsiaTheme="minorEastAsia"/>
                <w:color w:val="000000"/>
                <w:kern w:val="0"/>
                <w:sz w:val="22"/>
                <w:szCs w:val="22"/>
                <w:lang w:val="en-US" w:eastAsia="zh-CN" w:bidi="ar"/>
              </w:rPr>
            </w:pPr>
            <w:r>
              <w:rPr>
                <w:rFonts w:hint="eastAsia" w:ascii="宋体" w:hAnsi="宋体" w:cs="宋体"/>
                <w:color w:val="000000"/>
                <w:kern w:val="0"/>
                <w:sz w:val="22"/>
                <w:szCs w:val="22"/>
                <w:lang w:bidi="ar"/>
              </w:rPr>
              <w:t>7</w:t>
            </w:r>
          </w:p>
        </w:tc>
        <w:tc>
          <w:tcPr>
            <w:tcW w:w="73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7B29837">
            <w:pPr>
              <w:widowControl/>
              <w:jc w:val="left"/>
              <w:textAlignment w:val="center"/>
              <w:rPr>
                <w:rFonts w:hint="eastAsia" w:ascii="宋体" w:hAnsi="宋体" w:cs="宋体"/>
                <w:kern w:val="0"/>
                <w:sz w:val="22"/>
                <w:szCs w:val="22"/>
                <w:highlight w:val="none"/>
                <w:lang w:bidi="ar"/>
              </w:rPr>
            </w:pPr>
            <w:r>
              <w:rPr>
                <w:rFonts w:hint="eastAsia" w:ascii="宋体" w:hAnsi="宋体" w:cs="宋体"/>
                <w:kern w:val="0"/>
                <w:sz w:val="22"/>
                <w:szCs w:val="22"/>
                <w:highlight w:val="none"/>
                <w:lang w:bidi="ar"/>
              </w:rPr>
              <w:t>1、拟派项目负责人（一名）具有高级系统架构设计师（软考）或高级信息系统项目管理师得2分。</w:t>
            </w:r>
          </w:p>
          <w:p w14:paraId="5E227D34">
            <w:pPr>
              <w:widowControl/>
              <w:jc w:val="left"/>
              <w:textAlignment w:val="center"/>
              <w:rPr>
                <w:rFonts w:hint="eastAsia" w:ascii="宋体" w:hAnsi="宋体" w:cs="宋体" w:eastAsiaTheme="minorEastAsia"/>
                <w:kern w:val="0"/>
                <w:sz w:val="21"/>
                <w:szCs w:val="21"/>
                <w:lang w:val="en-US" w:eastAsia="zh-CN" w:bidi="ar"/>
              </w:rPr>
            </w:pPr>
            <w:r>
              <w:rPr>
                <w:rFonts w:hint="eastAsia" w:ascii="宋体" w:hAnsi="宋体" w:cs="宋体"/>
                <w:kern w:val="0"/>
                <w:sz w:val="22"/>
                <w:szCs w:val="22"/>
                <w:highlight w:val="none"/>
                <w:lang w:bidi="ar"/>
              </w:rPr>
              <w:t>2、投标人所投入的项目技术团队人员（除项目负责人外）拥有高级系统架构设计师（软考）、高级工程师、民用无人驾驶航空器操作员执照、</w:t>
            </w:r>
            <w:r>
              <w:rPr>
                <w:rFonts w:hint="eastAsia" w:ascii="宋体" w:hAnsi="宋体" w:cs="宋体"/>
                <w:kern w:val="0"/>
                <w:sz w:val="22"/>
                <w:szCs w:val="22"/>
                <w:highlight w:val="none"/>
                <w:lang w:val="en-US" w:eastAsia="zh-CN" w:bidi="ar"/>
              </w:rPr>
              <w:t>二</w:t>
            </w:r>
            <w:r>
              <w:rPr>
                <w:rFonts w:hint="eastAsia" w:ascii="宋体" w:hAnsi="宋体" w:cs="宋体"/>
                <w:color w:val="auto"/>
                <w:kern w:val="0"/>
                <w:sz w:val="22"/>
                <w:szCs w:val="22"/>
                <w:highlight w:val="none"/>
                <w:lang w:val="en-US" w:eastAsia="zh-CN" w:bidi="ar"/>
              </w:rPr>
              <w:t>级建造师注册证书或以上</w:t>
            </w:r>
            <w:r>
              <w:rPr>
                <w:rFonts w:hint="eastAsia" w:ascii="宋体" w:hAnsi="宋体" w:cs="宋体"/>
                <w:kern w:val="0"/>
                <w:sz w:val="22"/>
                <w:szCs w:val="22"/>
                <w:highlight w:val="none"/>
                <w:lang w:val="en-US" w:eastAsia="zh-CN" w:bidi="ar"/>
              </w:rPr>
              <w:t>、</w:t>
            </w:r>
            <w:r>
              <w:rPr>
                <w:rFonts w:hint="eastAsia" w:ascii="宋体" w:hAnsi="宋体" w:cs="宋体"/>
                <w:color w:val="auto"/>
                <w:kern w:val="0"/>
                <w:sz w:val="22"/>
                <w:szCs w:val="22"/>
                <w:highlight w:val="none"/>
                <w:lang w:val="en-US" w:eastAsia="zh-CN" w:bidi="ar"/>
              </w:rPr>
              <w:t>系统集成项目管理工程师、</w:t>
            </w:r>
            <w:r>
              <w:rPr>
                <w:rFonts w:hint="eastAsia" w:ascii="宋体" w:hAnsi="宋体" w:cs="宋体"/>
                <w:kern w:val="0"/>
                <w:sz w:val="22"/>
                <w:szCs w:val="22"/>
                <w:highlight w:val="none"/>
                <w:lang w:val="en-US" w:eastAsia="zh-CN" w:bidi="ar"/>
              </w:rPr>
              <w:t>通信工程师、电工证、登高证、信息安全工程师</w:t>
            </w:r>
            <w:r>
              <w:rPr>
                <w:rFonts w:hint="eastAsia" w:ascii="宋体" w:hAnsi="宋体" w:cs="宋体"/>
                <w:kern w:val="0"/>
                <w:sz w:val="22"/>
                <w:szCs w:val="22"/>
                <w:highlight w:val="none"/>
                <w:lang w:bidi="ar"/>
              </w:rPr>
              <w:t>，每本证书得1分，最高得5分</w:t>
            </w:r>
          </w:p>
        </w:tc>
      </w:tr>
      <w:tr w14:paraId="351A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vMerge w:val="continue"/>
            <w:tcBorders>
              <w:left w:val="single" w:color="auto" w:sz="4" w:space="0"/>
              <w:right w:val="single" w:color="auto" w:sz="4" w:space="0"/>
              <w:tl2br w:val="nil"/>
              <w:tr2bl w:val="nil"/>
            </w:tcBorders>
            <w:noWrap/>
            <w:vAlign w:val="center"/>
          </w:tcPr>
          <w:p w14:paraId="270165B6">
            <w:pPr>
              <w:ind w:left="0" w:leftChars="0" w:right="0" w:rightChars="0" w:firstLine="0" w:firstLineChars="0"/>
              <w:jc w:val="center"/>
              <w:rPr>
                <w:rFonts w:hint="eastAsia" w:ascii="宋体" w:hAnsi="宋体" w:eastAsia="宋体" w:cs="宋体"/>
                <w:color w:val="auto"/>
                <w:sz w:val="22"/>
                <w:szCs w:val="22"/>
                <w:highlight w:val="none"/>
              </w:rPr>
            </w:pPr>
          </w:p>
        </w:tc>
        <w:tc>
          <w:tcPr>
            <w:tcW w:w="827" w:type="dxa"/>
            <w:vMerge w:val="continue"/>
            <w:tcBorders>
              <w:left w:val="single" w:color="auto" w:sz="4" w:space="0"/>
              <w:right w:val="single" w:color="auto" w:sz="4" w:space="0"/>
              <w:tl2br w:val="nil"/>
              <w:tr2bl w:val="nil"/>
            </w:tcBorders>
            <w:vAlign w:val="center"/>
          </w:tcPr>
          <w:p w14:paraId="2A82837D">
            <w:pPr>
              <w:ind w:left="0" w:leftChars="0" w:right="0" w:rightChars="0" w:firstLine="0" w:firstLineChars="0"/>
              <w:jc w:val="center"/>
              <w:rPr>
                <w:rFonts w:hint="eastAsia" w:ascii="宋体" w:hAnsi="宋体" w:eastAsia="宋体" w:cs="宋体"/>
                <w:color w:val="auto"/>
                <w:sz w:val="22"/>
                <w:szCs w:val="22"/>
                <w:highlight w:val="none"/>
              </w:rPr>
            </w:pPr>
          </w:p>
        </w:tc>
        <w:tc>
          <w:tcPr>
            <w:tcW w:w="827" w:type="dxa"/>
            <w:vMerge w:val="continue"/>
            <w:tcBorders>
              <w:left w:val="single" w:color="auto" w:sz="4" w:space="0"/>
              <w:bottom w:val="single" w:color="auto" w:sz="4" w:space="0"/>
              <w:right w:val="single" w:color="auto" w:sz="4" w:space="0"/>
              <w:tl2br w:val="nil"/>
              <w:tr2bl w:val="nil"/>
            </w:tcBorders>
            <w:vAlign w:val="center"/>
          </w:tcPr>
          <w:p w14:paraId="47C15187">
            <w:pPr>
              <w:ind w:left="0" w:leftChars="0" w:right="0" w:rightChars="0" w:firstLine="0" w:firstLineChars="0"/>
              <w:jc w:val="center"/>
              <w:rPr>
                <w:rFonts w:hint="eastAsia" w:ascii="宋体" w:hAnsi="宋体" w:eastAsia="宋体" w:cs="宋体"/>
                <w:color w:val="auto"/>
                <w:sz w:val="22"/>
                <w:szCs w:val="22"/>
                <w:highlight w:val="none"/>
              </w:rPr>
            </w:pPr>
          </w:p>
        </w:tc>
        <w:tc>
          <w:tcPr>
            <w:tcW w:w="73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CB45D0">
            <w:pPr>
              <w:rPr>
                <w:rFonts w:hint="eastAsia" w:ascii="宋体" w:hAnsi="宋体" w:cs="宋体" w:eastAsiaTheme="minorEastAsia"/>
                <w:color w:val="000000"/>
                <w:kern w:val="2"/>
                <w:sz w:val="22"/>
                <w:szCs w:val="22"/>
                <w:lang w:val="en-US" w:eastAsia="zh-CN" w:bidi="ar-SA"/>
              </w:rPr>
            </w:pPr>
            <w:r>
              <w:rPr>
                <w:rFonts w:ascii="宋体" w:hAnsi="宋体" w:cs="宋体"/>
                <w:color w:val="000000"/>
                <w:sz w:val="22"/>
                <w:szCs w:val="22"/>
              </w:rPr>
              <w:t>注：</w:t>
            </w:r>
            <w:r>
              <w:rPr>
                <w:rFonts w:hint="eastAsia" w:ascii="宋体" w:hAnsi="宋体" w:cs="宋体"/>
                <w:b/>
                <w:bCs/>
                <w:color w:val="000000" w:themeColor="text1"/>
                <w:sz w:val="22"/>
                <w:szCs w:val="22"/>
                <w14:textFill>
                  <w14:solidFill>
                    <w14:schemeClr w14:val="tx1"/>
                  </w14:solidFill>
                </w14:textFill>
              </w:rPr>
              <w:t>①以上人员证书须提供相关证明材料（签发/颁证机构为人力资源和社会保障部（厅、局）或工业和信息化部（厅、局）或软件行业协会或中国民用航空局）复印件加盖公章</w:t>
            </w:r>
            <w:r>
              <w:rPr>
                <w:rFonts w:hint="eastAsia" w:ascii="宋体" w:hAnsi="宋体" w:cs="宋体"/>
                <w:color w:val="000000"/>
                <w:sz w:val="22"/>
                <w:szCs w:val="22"/>
              </w:rPr>
              <w:t>；②以上持证人员需提供完整有效的证书复印件加盖投标人公章，并提供在投标人处近3个月内任意一个月的社保证明加盖投标人公章，社保缴纳单位应与投标人名称一致，否则不得分。</w:t>
            </w:r>
          </w:p>
        </w:tc>
      </w:tr>
      <w:tr w14:paraId="64FB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tcBorders>
              <w:left w:val="single" w:color="auto" w:sz="4" w:space="0"/>
              <w:bottom w:val="single" w:color="auto" w:sz="4" w:space="0"/>
              <w:right w:val="single" w:color="auto" w:sz="4" w:space="0"/>
              <w:tl2br w:val="nil"/>
              <w:tr2bl w:val="nil"/>
            </w:tcBorders>
            <w:shd w:val="clear" w:color="auto" w:fill="auto"/>
            <w:noWrap/>
            <w:vAlign w:val="center"/>
          </w:tcPr>
          <w:p w14:paraId="62B7B491">
            <w:pPr>
              <w:widowControl/>
              <w:ind w:left="0" w:leftChars="0" w:right="0" w:rightChars="0" w:firstLine="0" w:firstLineChars="0"/>
              <w:jc w:val="center"/>
              <w:textAlignment w:val="center"/>
              <w:rPr>
                <w:rFonts w:hint="eastAsia" w:ascii="宋体" w:hAnsi="宋体" w:eastAsia="宋体" w:cs="宋体"/>
                <w:color w:val="auto"/>
                <w:kern w:val="2"/>
                <w:sz w:val="22"/>
                <w:szCs w:val="22"/>
                <w:highlight w:val="none"/>
                <w:lang w:val="en-US" w:eastAsia="zh-CN" w:bidi="ar-SA"/>
              </w:rPr>
            </w:pPr>
            <w:r>
              <w:rPr>
                <w:rFonts w:ascii="宋体" w:hAnsi="宋体" w:eastAsia="宋体" w:cs="宋体"/>
                <w:color w:val="auto"/>
                <w:kern w:val="0"/>
                <w:sz w:val="22"/>
                <w:szCs w:val="22"/>
                <w:highlight w:val="none"/>
                <w:lang w:bidi="ar"/>
              </w:rPr>
              <w:t>4</w:t>
            </w:r>
          </w:p>
        </w:tc>
        <w:tc>
          <w:tcPr>
            <w:tcW w:w="827" w:type="dxa"/>
            <w:tcBorders>
              <w:left w:val="single" w:color="auto" w:sz="4" w:space="0"/>
              <w:bottom w:val="single" w:color="auto" w:sz="4" w:space="0"/>
              <w:right w:val="single" w:color="auto" w:sz="4" w:space="0"/>
              <w:tl2br w:val="nil"/>
              <w:tr2bl w:val="nil"/>
            </w:tcBorders>
            <w:shd w:val="clear" w:color="auto" w:fill="auto"/>
            <w:vAlign w:val="center"/>
          </w:tcPr>
          <w:p w14:paraId="4711BC8D">
            <w:pPr>
              <w:widowControl/>
              <w:ind w:left="0" w:leftChars="0" w:right="0" w:rightChars="0" w:firstLine="0" w:firstLineChars="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技术参数符合度</w:t>
            </w:r>
          </w:p>
        </w:tc>
        <w:tc>
          <w:tcPr>
            <w:tcW w:w="8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73658C3">
            <w:pPr>
              <w:widowControl/>
              <w:ind w:left="0" w:leftChars="0" w:right="0" w:rightChars="0" w:firstLine="0" w:firstLineChars="0"/>
              <w:jc w:val="center"/>
              <w:textAlignment w:val="center"/>
              <w:rPr>
                <w:rFonts w:hint="eastAsia" w:ascii="宋体" w:hAnsi="宋体" w:eastAsia="宋体" w:cs="宋体"/>
                <w:color w:val="auto"/>
                <w:kern w:val="2"/>
                <w:sz w:val="22"/>
                <w:szCs w:val="22"/>
                <w:highlight w:val="none"/>
                <w:lang w:val="en-US" w:eastAsia="zh-CN" w:bidi="ar-SA"/>
              </w:rPr>
            </w:pPr>
            <w:r>
              <w:rPr>
                <w:rFonts w:ascii="宋体" w:hAnsi="宋体" w:eastAsia="宋体" w:cs="宋体"/>
                <w:color w:val="auto"/>
                <w:sz w:val="22"/>
                <w:szCs w:val="22"/>
                <w:highlight w:val="none"/>
              </w:rPr>
              <w:t>2</w:t>
            </w:r>
            <w:r>
              <w:rPr>
                <w:rFonts w:hint="eastAsia" w:ascii="宋体" w:hAnsi="宋体" w:eastAsia="宋体" w:cs="宋体"/>
                <w:color w:val="auto"/>
                <w:sz w:val="22"/>
                <w:szCs w:val="22"/>
                <w:highlight w:val="none"/>
              </w:rPr>
              <w:t>2</w:t>
            </w:r>
          </w:p>
        </w:tc>
        <w:tc>
          <w:tcPr>
            <w:tcW w:w="73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0A92460">
            <w:pPr>
              <w:widowControl/>
              <w:ind w:left="0" w:leftChars="0" w:right="0" w:rightChars="0" w:firstLine="0" w:firstLineChars="0"/>
              <w:jc w:val="left"/>
              <w:textAlignment w:val="center"/>
              <w:rPr>
                <w:rFonts w:hint="eastAsia" w:ascii="宋体" w:hAnsi="宋体" w:eastAsia="宋体" w:cs="宋体"/>
                <w:color w:val="auto"/>
                <w:kern w:val="2"/>
                <w:sz w:val="22"/>
                <w:szCs w:val="22"/>
                <w:highlight w:val="none"/>
                <w:lang w:val="en-US" w:eastAsia="zh-CN" w:bidi="ar-SA"/>
              </w:rPr>
            </w:pPr>
            <w:r>
              <w:rPr>
                <w:rFonts w:ascii="宋体" w:hAnsi="宋体" w:eastAsia="宋体" w:cs="宋体"/>
                <w:color w:val="auto"/>
                <w:kern w:val="0"/>
                <w:sz w:val="22"/>
                <w:szCs w:val="22"/>
                <w:highlight w:val="none"/>
                <w:lang w:bidi="ar"/>
              </w:rPr>
              <w:t>根据投标人所投产品与本项目招标文件中参数要求的符合程度，按要求提供产品技术说明或参数材料，未提供视为负偏离，由评委进行核实打分，标“★”每负偏离一项扣1.5分，其他参数每负偏离一项扣0.5分，扣完为止。</w:t>
            </w:r>
          </w:p>
        </w:tc>
      </w:tr>
    </w:tbl>
    <w:p w14:paraId="681BB7A7"/>
    <w:p w14:paraId="2CA578E7"/>
    <w:p w14:paraId="5E56A5E3">
      <w:pPr>
        <w:rPr>
          <w:rFonts w:hint="eastAsia" w:eastAsiaTheme="minorEastAsia"/>
          <w:lang w:eastAsia="zh-CN"/>
        </w:rPr>
      </w:pPr>
    </w:p>
    <w:p w14:paraId="45F62188">
      <w:pPr>
        <w:rPr>
          <w:rFonts w:hint="eastAsia" w:eastAsiaTheme="minorEastAsia"/>
          <w:lang w:eastAsia="zh-CN"/>
        </w:rPr>
      </w:pPr>
    </w:p>
    <w:p w14:paraId="22E0D1D0">
      <w:pPr>
        <w:rPr>
          <w:rFonts w:hint="eastAsia"/>
          <w:b/>
          <w:bCs/>
          <w:highlight w:val="green"/>
          <w:lang w:val="en-US" w:eastAsia="zh-CN"/>
        </w:rPr>
      </w:pPr>
      <w:r>
        <w:rPr>
          <w:rFonts w:hint="eastAsia"/>
          <w:b/>
          <w:bCs/>
          <w:highlight w:val="green"/>
          <w:lang w:val="en-US" w:eastAsia="zh-CN"/>
        </w:rPr>
        <w:t>更正后：</w:t>
      </w:r>
    </w:p>
    <w:tbl>
      <w:tblPr>
        <w:tblStyle w:val="4"/>
        <w:tblpPr w:leftFromText="180" w:rightFromText="180" w:vertAnchor="text" w:horzAnchor="page" w:tblpX="1359" w:tblpY="649"/>
        <w:tblOverlap w:val="never"/>
        <w:tblW w:w="9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827"/>
        <w:gridCol w:w="827"/>
        <w:gridCol w:w="7355"/>
      </w:tblGrid>
      <w:tr w14:paraId="5405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tcBorders>
              <w:top w:val="single" w:color="auto" w:sz="4" w:space="0"/>
              <w:left w:val="single" w:color="auto" w:sz="4" w:space="0"/>
              <w:bottom w:val="single" w:color="auto" w:sz="4" w:space="0"/>
              <w:right w:val="single" w:color="auto" w:sz="4" w:space="0"/>
              <w:tl2br w:val="nil"/>
              <w:tr2bl w:val="nil"/>
            </w:tcBorders>
            <w:noWrap/>
            <w:vAlign w:val="center"/>
          </w:tcPr>
          <w:p w14:paraId="7F000957">
            <w:pPr>
              <w:widowControl/>
              <w:ind w:left="0" w:leftChars="0" w:right="0" w:rightChars="0" w:firstLine="0" w:firstLineChars="0"/>
              <w:jc w:val="center"/>
              <w:textAlignment w:val="center"/>
              <w:rPr>
                <w:rFonts w:hint="eastAsia" w:ascii="宋体" w:hAnsi="宋体" w:eastAsia="宋体" w:cs="宋体"/>
                <w:b/>
                <w:color w:val="auto"/>
                <w:sz w:val="22"/>
                <w:szCs w:val="22"/>
                <w:highlight w:val="none"/>
              </w:rPr>
            </w:pPr>
            <w:r>
              <w:rPr>
                <w:rFonts w:ascii="宋体" w:hAnsi="宋体" w:eastAsia="宋体" w:cs="宋体"/>
                <w:b/>
                <w:color w:val="auto"/>
                <w:kern w:val="0"/>
                <w:sz w:val="22"/>
                <w:szCs w:val="22"/>
                <w:highlight w:val="none"/>
                <w:lang w:bidi="ar"/>
              </w:rPr>
              <w:t>序号</w:t>
            </w: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65185F8F">
            <w:pPr>
              <w:widowControl/>
              <w:ind w:left="0" w:leftChars="0" w:right="0" w:rightChars="0" w:firstLine="0" w:firstLineChars="0"/>
              <w:jc w:val="center"/>
              <w:textAlignment w:val="center"/>
              <w:rPr>
                <w:rFonts w:hint="default" w:ascii="宋体" w:hAnsi="宋体" w:eastAsia="宋体" w:cs="宋体"/>
                <w:b/>
                <w:color w:val="auto"/>
                <w:kern w:val="0"/>
                <w:sz w:val="22"/>
                <w:szCs w:val="22"/>
                <w:highlight w:val="none"/>
                <w:lang w:val="en-US" w:eastAsia="zh-CN" w:bidi="ar"/>
              </w:rPr>
            </w:pPr>
            <w:r>
              <w:rPr>
                <w:rFonts w:hint="eastAsia" w:ascii="宋体" w:hAnsi="宋体" w:eastAsia="宋体" w:cs="宋体"/>
                <w:b/>
                <w:color w:val="auto"/>
                <w:kern w:val="0"/>
                <w:sz w:val="22"/>
                <w:szCs w:val="22"/>
                <w:highlight w:val="none"/>
                <w:lang w:val="en-US" w:eastAsia="zh-CN" w:bidi="ar"/>
              </w:rPr>
              <w:t>评审项</w:t>
            </w: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6CF48954">
            <w:pPr>
              <w:widowControl/>
              <w:ind w:left="0" w:leftChars="0" w:right="0" w:rightChars="0" w:firstLine="0" w:firstLineChars="0"/>
              <w:jc w:val="center"/>
              <w:textAlignment w:val="center"/>
              <w:rPr>
                <w:rFonts w:hint="eastAsia" w:ascii="宋体" w:hAnsi="宋体" w:eastAsia="宋体" w:cs="宋体"/>
                <w:b/>
                <w:color w:val="auto"/>
                <w:sz w:val="22"/>
                <w:szCs w:val="22"/>
                <w:highlight w:val="none"/>
              </w:rPr>
            </w:pPr>
            <w:r>
              <w:rPr>
                <w:rFonts w:ascii="宋体" w:hAnsi="宋体" w:eastAsia="宋体" w:cs="宋体"/>
                <w:b/>
                <w:color w:val="auto"/>
                <w:kern w:val="0"/>
                <w:sz w:val="22"/>
                <w:szCs w:val="22"/>
                <w:highlight w:val="none"/>
                <w:lang w:bidi="ar"/>
              </w:rPr>
              <w:t>分值</w:t>
            </w:r>
          </w:p>
        </w:tc>
        <w:tc>
          <w:tcPr>
            <w:tcW w:w="7355" w:type="dxa"/>
            <w:tcBorders>
              <w:top w:val="single" w:color="auto" w:sz="4" w:space="0"/>
              <w:left w:val="single" w:color="auto" w:sz="4" w:space="0"/>
              <w:bottom w:val="single" w:color="auto" w:sz="4" w:space="0"/>
              <w:right w:val="single" w:color="auto" w:sz="4" w:space="0"/>
              <w:tl2br w:val="nil"/>
              <w:tr2bl w:val="nil"/>
            </w:tcBorders>
            <w:vAlign w:val="center"/>
          </w:tcPr>
          <w:p w14:paraId="5B007005">
            <w:pPr>
              <w:widowControl/>
              <w:ind w:left="0" w:leftChars="0" w:right="0" w:rightChars="0" w:firstLine="0" w:firstLineChars="0"/>
              <w:jc w:val="center"/>
              <w:textAlignment w:val="center"/>
              <w:rPr>
                <w:rFonts w:hint="eastAsia" w:ascii="宋体" w:hAnsi="宋体" w:eastAsia="宋体" w:cs="宋体"/>
                <w:b/>
                <w:color w:val="auto"/>
                <w:sz w:val="22"/>
                <w:szCs w:val="22"/>
                <w:highlight w:val="none"/>
              </w:rPr>
            </w:pPr>
            <w:r>
              <w:rPr>
                <w:rFonts w:ascii="宋体" w:hAnsi="宋体" w:eastAsia="宋体" w:cs="宋体"/>
                <w:b/>
                <w:color w:val="auto"/>
                <w:kern w:val="0"/>
                <w:sz w:val="22"/>
                <w:szCs w:val="22"/>
                <w:highlight w:val="none"/>
                <w:lang w:bidi="ar"/>
              </w:rPr>
              <w:t>评分标准及细则</w:t>
            </w:r>
          </w:p>
        </w:tc>
      </w:tr>
      <w:tr w14:paraId="5301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tcBorders>
              <w:top w:val="single" w:color="auto" w:sz="4" w:space="0"/>
              <w:left w:val="single" w:color="auto" w:sz="4" w:space="0"/>
              <w:right w:val="single" w:color="auto" w:sz="4" w:space="0"/>
              <w:tl2br w:val="nil"/>
              <w:tr2bl w:val="nil"/>
            </w:tcBorders>
            <w:noWrap/>
            <w:vAlign w:val="center"/>
          </w:tcPr>
          <w:p w14:paraId="1D398354">
            <w:pPr>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w:t>
            </w:r>
          </w:p>
        </w:tc>
        <w:tc>
          <w:tcPr>
            <w:tcW w:w="827" w:type="dxa"/>
            <w:tcBorders>
              <w:top w:val="single" w:color="auto" w:sz="4" w:space="0"/>
              <w:left w:val="single" w:color="auto" w:sz="4" w:space="0"/>
              <w:right w:val="single" w:color="auto" w:sz="4" w:space="0"/>
              <w:tl2br w:val="nil"/>
              <w:tr2bl w:val="nil"/>
            </w:tcBorders>
            <w:vAlign w:val="center"/>
          </w:tcPr>
          <w:p w14:paraId="546EB1F9">
            <w:pPr>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投标人综合情况</w:t>
            </w:r>
          </w:p>
        </w:tc>
        <w:tc>
          <w:tcPr>
            <w:tcW w:w="827" w:type="dxa"/>
            <w:tcBorders>
              <w:top w:val="single" w:color="auto" w:sz="4" w:space="0"/>
              <w:left w:val="single" w:color="auto" w:sz="4" w:space="0"/>
              <w:bottom w:val="single" w:color="auto" w:sz="4" w:space="0"/>
              <w:right w:val="single" w:color="auto" w:sz="4" w:space="0"/>
              <w:tl2br w:val="nil"/>
              <w:tr2bl w:val="nil"/>
            </w:tcBorders>
            <w:vAlign w:val="center"/>
          </w:tcPr>
          <w:p w14:paraId="15A7B249">
            <w:pPr>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rPr>
              <w:t>5</w:t>
            </w:r>
          </w:p>
        </w:tc>
        <w:tc>
          <w:tcPr>
            <w:tcW w:w="7355" w:type="dxa"/>
            <w:tcBorders>
              <w:top w:val="single" w:color="auto" w:sz="4" w:space="0"/>
              <w:left w:val="single" w:color="auto" w:sz="4" w:space="0"/>
              <w:bottom w:val="single" w:color="auto" w:sz="4" w:space="0"/>
              <w:right w:val="single" w:color="auto" w:sz="4" w:space="0"/>
              <w:tl2br w:val="nil"/>
              <w:tr2bl w:val="nil"/>
            </w:tcBorders>
            <w:vAlign w:val="center"/>
          </w:tcPr>
          <w:p w14:paraId="0A391E27">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投标人具有ISO9001质量管理体系认证证书的得1分。</w:t>
            </w:r>
          </w:p>
          <w:p w14:paraId="3C6B83AF">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投标人具有ISO14001环境管理体系认</w:t>
            </w:r>
            <w:r>
              <w:rPr>
                <w:rFonts w:hint="eastAsia" w:ascii="宋体" w:hAnsi="宋体" w:eastAsia="宋体" w:cs="宋体"/>
                <w:color w:val="auto"/>
                <w:kern w:val="0"/>
                <w:sz w:val="22"/>
                <w:szCs w:val="22"/>
                <w:highlight w:val="none"/>
                <w:lang w:val="en-US" w:eastAsia="zh-CN" w:bidi="ar"/>
              </w:rPr>
              <w:t>证</w:t>
            </w:r>
            <w:r>
              <w:rPr>
                <w:rFonts w:hint="eastAsia" w:ascii="宋体" w:hAnsi="宋体" w:eastAsia="宋体" w:cs="宋体"/>
                <w:color w:val="auto"/>
                <w:kern w:val="0"/>
                <w:sz w:val="22"/>
                <w:szCs w:val="22"/>
                <w:highlight w:val="none"/>
                <w:lang w:bidi="ar"/>
              </w:rPr>
              <w:t>认证证书的得1分。</w:t>
            </w:r>
          </w:p>
          <w:p w14:paraId="23CF5E26">
            <w:pPr>
              <w:widowControl/>
              <w:ind w:left="0" w:leftChars="0" w:right="0" w:rightChars="0" w:firstLine="0" w:firstLineChars="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投标人具有ISO45001职业健康安全管理体系认证证书的得1分。</w:t>
            </w:r>
          </w:p>
          <w:p w14:paraId="4446A4BD">
            <w:pPr>
              <w:widowControl/>
              <w:ind w:left="0" w:leftChars="0" w:right="0" w:rightChars="0" w:firstLine="0" w:firstLineChars="0"/>
              <w:jc w:val="left"/>
              <w:textAlignment w:val="center"/>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投标人具有ISO20000信息技术服务管理体系证书的得1分。</w:t>
            </w:r>
          </w:p>
          <w:p w14:paraId="0AA00B29">
            <w:pPr>
              <w:widowControl/>
              <w:ind w:left="0" w:leftChars="0" w:right="0" w:rightChars="0" w:firstLine="0" w:firstLineChars="0"/>
              <w:jc w:val="left"/>
              <w:textAlignment w:val="center"/>
              <w:rPr>
                <w:rFonts w:hint="eastAsia" w:ascii="宋体" w:hAnsi="宋体" w:eastAsia="宋体" w:cs="宋体"/>
                <w:color w:val="auto"/>
                <w:sz w:val="22"/>
                <w:szCs w:val="22"/>
                <w:highlight w:val="none"/>
                <w:lang w:eastAsia="zh-CN"/>
              </w:rPr>
            </w:pPr>
            <w:r>
              <w:rPr>
                <w:rFonts w:hint="eastAsia" w:ascii="宋体" w:hAnsi="宋体" w:cs="宋体"/>
                <w:color w:val="auto"/>
                <w:kern w:val="0"/>
                <w:sz w:val="22"/>
                <w:szCs w:val="22"/>
                <w:highlight w:val="none"/>
                <w:lang w:bidi="ar"/>
              </w:rPr>
              <w:t>投标人具有ISO27001信息安全管理体系认证证书的得1分。</w:t>
            </w:r>
            <w:r>
              <w:rPr>
                <w:rFonts w:hint="eastAsia" w:ascii="宋体" w:hAnsi="宋体" w:cs="宋体"/>
                <w:color w:val="auto"/>
                <w:kern w:val="0"/>
                <w:sz w:val="22"/>
                <w:szCs w:val="22"/>
                <w:highlight w:val="none"/>
                <w:lang w:bidi="ar"/>
              </w:rPr>
              <w:br w:type="textWrapping"/>
            </w:r>
            <w:r>
              <w:rPr>
                <w:rFonts w:hint="eastAsia" w:ascii="宋体" w:hAnsi="宋体" w:eastAsia="宋体" w:cs="宋体"/>
                <w:color w:val="auto"/>
                <w:kern w:val="0"/>
                <w:sz w:val="22"/>
                <w:szCs w:val="22"/>
                <w:highlight w:val="none"/>
                <w:lang w:bidi="ar"/>
              </w:rPr>
              <w:t>注：提供有效期内的认证证书原件扫描件或复印件，且证书认证机构须获得国家认证认可监督管理委员会的批准并在有效期内，认证范围需含“信息系统集成、信息系统软硬件维护”</w:t>
            </w:r>
            <w:r>
              <w:rPr>
                <w:rFonts w:hint="eastAsia" w:ascii="宋体" w:hAnsi="宋体" w:eastAsia="宋体" w:cs="宋体"/>
                <w:color w:val="auto"/>
                <w:kern w:val="0"/>
                <w:sz w:val="22"/>
                <w:szCs w:val="22"/>
                <w:highlight w:val="none"/>
                <w:lang w:eastAsia="zh-CN" w:bidi="ar"/>
              </w:rPr>
              <w:t>。</w:t>
            </w:r>
          </w:p>
        </w:tc>
      </w:tr>
      <w:tr w14:paraId="3F67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vMerge w:val="restart"/>
            <w:tcBorders>
              <w:left w:val="single" w:color="auto" w:sz="4" w:space="0"/>
              <w:right w:val="single" w:color="auto" w:sz="4" w:space="0"/>
              <w:tl2br w:val="nil"/>
              <w:tr2bl w:val="nil"/>
            </w:tcBorders>
            <w:shd w:val="clear" w:color="auto" w:fill="auto"/>
            <w:noWrap/>
            <w:vAlign w:val="center"/>
          </w:tcPr>
          <w:p w14:paraId="65D66F6A">
            <w:pPr>
              <w:widowControl/>
              <w:jc w:val="center"/>
              <w:textAlignment w:val="center"/>
              <w:rPr>
                <w:rFonts w:hint="eastAsia" w:ascii="宋体" w:hAnsi="宋体" w:cs="宋体" w:eastAsiaTheme="minorEastAsia"/>
                <w:color w:val="auto"/>
                <w:kern w:val="0"/>
                <w:sz w:val="22"/>
                <w:szCs w:val="22"/>
                <w:highlight w:val="none"/>
                <w:lang w:val="en-US" w:eastAsia="zh-CN" w:bidi="ar"/>
              </w:rPr>
            </w:pPr>
            <w:r>
              <w:rPr>
                <w:rFonts w:ascii="宋体" w:hAnsi="宋体" w:cs="宋体"/>
                <w:color w:val="auto"/>
                <w:kern w:val="0"/>
                <w:sz w:val="22"/>
                <w:szCs w:val="22"/>
                <w:highlight w:val="none"/>
                <w:lang w:bidi="ar"/>
              </w:rPr>
              <w:t>3</w:t>
            </w:r>
          </w:p>
        </w:tc>
        <w:tc>
          <w:tcPr>
            <w:tcW w:w="827" w:type="dxa"/>
            <w:vMerge w:val="restart"/>
            <w:tcBorders>
              <w:left w:val="single" w:color="auto" w:sz="4" w:space="0"/>
              <w:right w:val="single" w:color="auto" w:sz="4" w:space="0"/>
              <w:tl2br w:val="nil"/>
              <w:tr2bl w:val="nil"/>
            </w:tcBorders>
            <w:shd w:val="clear" w:color="auto" w:fill="auto"/>
            <w:vAlign w:val="center"/>
          </w:tcPr>
          <w:p w14:paraId="1B59A422">
            <w:pPr>
              <w:widowControl/>
              <w:jc w:val="center"/>
              <w:textAlignment w:val="center"/>
              <w:rPr>
                <w:rFonts w:hint="eastAsia" w:ascii="宋体" w:hAnsi="宋体" w:cs="宋体" w:eastAsiaTheme="minorEastAsia"/>
                <w:color w:val="auto"/>
                <w:kern w:val="0"/>
                <w:sz w:val="22"/>
                <w:szCs w:val="22"/>
                <w:highlight w:val="none"/>
                <w:lang w:val="en-US" w:eastAsia="zh-CN" w:bidi="ar"/>
              </w:rPr>
            </w:pPr>
            <w:r>
              <w:rPr>
                <w:rFonts w:ascii="宋体" w:hAnsi="宋体" w:cs="宋体"/>
                <w:color w:val="auto"/>
                <w:sz w:val="22"/>
                <w:szCs w:val="22"/>
                <w:highlight w:val="none"/>
              </w:rPr>
              <w:t>技术服务力量</w:t>
            </w:r>
          </w:p>
        </w:tc>
        <w:tc>
          <w:tcPr>
            <w:tcW w:w="827" w:type="dxa"/>
            <w:vMerge w:val="restart"/>
            <w:tcBorders>
              <w:top w:val="single" w:color="auto" w:sz="4" w:space="0"/>
              <w:left w:val="single" w:color="auto" w:sz="4" w:space="0"/>
              <w:right w:val="single" w:color="auto" w:sz="4" w:space="0"/>
              <w:tl2br w:val="nil"/>
              <w:tr2bl w:val="nil"/>
            </w:tcBorders>
            <w:shd w:val="clear" w:color="auto" w:fill="auto"/>
            <w:vAlign w:val="center"/>
          </w:tcPr>
          <w:p w14:paraId="7EEEA611">
            <w:pPr>
              <w:widowControl/>
              <w:jc w:val="center"/>
              <w:textAlignment w:val="center"/>
              <w:rPr>
                <w:rFonts w:hint="eastAsia" w:ascii="宋体" w:hAnsi="宋体" w:cs="宋体" w:eastAsiaTheme="minorEastAsia"/>
                <w:color w:val="auto"/>
                <w:kern w:val="0"/>
                <w:sz w:val="22"/>
                <w:szCs w:val="22"/>
                <w:highlight w:val="none"/>
                <w:lang w:val="en-US" w:eastAsia="zh-CN" w:bidi="ar"/>
              </w:rPr>
            </w:pPr>
            <w:r>
              <w:rPr>
                <w:rFonts w:hint="eastAsia" w:ascii="宋体" w:hAnsi="宋体" w:cs="宋体"/>
                <w:color w:val="auto"/>
                <w:kern w:val="0"/>
                <w:sz w:val="22"/>
                <w:szCs w:val="22"/>
                <w:highlight w:val="none"/>
                <w:lang w:bidi="ar"/>
              </w:rPr>
              <w:t>7</w:t>
            </w:r>
          </w:p>
        </w:tc>
        <w:tc>
          <w:tcPr>
            <w:tcW w:w="73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0C7D87">
            <w:pPr>
              <w:widowControl/>
              <w:jc w:val="left"/>
              <w:textAlignment w:val="center"/>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1、拟派项目负责人（一名）具</w:t>
            </w:r>
            <w:bookmarkStart w:id="0" w:name="_GoBack"/>
            <w:bookmarkEnd w:id="0"/>
            <w:r>
              <w:rPr>
                <w:rFonts w:hint="eastAsia" w:ascii="宋体" w:hAnsi="宋体" w:cs="宋体"/>
                <w:color w:val="auto"/>
                <w:kern w:val="0"/>
                <w:sz w:val="22"/>
                <w:szCs w:val="22"/>
                <w:highlight w:val="none"/>
                <w:lang w:bidi="ar"/>
              </w:rPr>
              <w:t>有高级系统架构设计师（软考）或高级信息系统项目管理师得2分。</w:t>
            </w:r>
          </w:p>
          <w:p w14:paraId="676558A4">
            <w:pPr>
              <w:widowControl/>
              <w:jc w:val="left"/>
              <w:textAlignment w:val="center"/>
              <w:rPr>
                <w:rFonts w:hint="eastAsia" w:ascii="宋体" w:hAnsi="宋体" w:cs="宋体" w:eastAsiaTheme="minorEastAsia"/>
                <w:color w:val="auto"/>
                <w:kern w:val="0"/>
                <w:sz w:val="21"/>
                <w:szCs w:val="21"/>
                <w:highlight w:val="none"/>
                <w:lang w:val="en-US" w:eastAsia="zh-CN" w:bidi="ar"/>
              </w:rPr>
            </w:pPr>
            <w:r>
              <w:rPr>
                <w:rFonts w:hint="eastAsia" w:ascii="宋体" w:hAnsi="宋体" w:cs="宋体"/>
                <w:color w:val="auto"/>
                <w:kern w:val="0"/>
                <w:sz w:val="22"/>
                <w:szCs w:val="22"/>
                <w:highlight w:val="none"/>
                <w:lang w:bidi="ar"/>
              </w:rPr>
              <w:t>2、投标人所投入的项目技术团队人员（除项目负责人外）拥有高级工程师、民用无人驾驶航空器操作员执照、</w:t>
            </w:r>
            <w:r>
              <w:rPr>
                <w:rFonts w:hint="eastAsia" w:ascii="宋体" w:hAnsi="宋体" w:cs="宋体"/>
                <w:color w:val="auto"/>
                <w:kern w:val="0"/>
                <w:sz w:val="22"/>
                <w:szCs w:val="22"/>
                <w:highlight w:val="none"/>
                <w:lang w:val="en-US" w:eastAsia="zh-CN" w:bidi="ar"/>
              </w:rPr>
              <w:t>二级建造师或以上（机电工程)、系统集成项目管理工程师（软考）、通信工程师、电工证、</w:t>
            </w:r>
            <w:r>
              <w:rPr>
                <w:rFonts w:hint="eastAsia" w:ascii="宋体" w:hAnsi="宋体" w:cs="宋体"/>
                <w:color w:val="auto"/>
                <w:kern w:val="0"/>
                <w:sz w:val="22"/>
                <w:szCs w:val="22"/>
                <w:highlight w:val="none"/>
                <w:lang w:bidi="ar"/>
              </w:rPr>
              <w:t>网络工程师</w:t>
            </w:r>
            <w:r>
              <w:rPr>
                <w:rFonts w:hint="eastAsia" w:ascii="宋体" w:hAnsi="宋体" w:cs="宋体"/>
                <w:color w:val="auto"/>
                <w:kern w:val="0"/>
                <w:sz w:val="22"/>
                <w:szCs w:val="22"/>
                <w:highlight w:val="none"/>
                <w:lang w:eastAsia="zh-CN" w:bidi="ar"/>
              </w:rPr>
              <w:t>（</w:t>
            </w:r>
            <w:r>
              <w:rPr>
                <w:rFonts w:hint="eastAsia" w:ascii="宋体" w:hAnsi="宋体" w:cs="宋体"/>
                <w:color w:val="auto"/>
                <w:kern w:val="0"/>
                <w:sz w:val="22"/>
                <w:szCs w:val="22"/>
                <w:highlight w:val="none"/>
                <w:lang w:val="en-US" w:eastAsia="zh-CN" w:bidi="ar"/>
              </w:rPr>
              <w:t>软考</w:t>
            </w:r>
            <w:r>
              <w:rPr>
                <w:rFonts w:hint="eastAsia" w:ascii="宋体" w:hAnsi="宋体" w:cs="宋体"/>
                <w:color w:val="auto"/>
                <w:kern w:val="0"/>
                <w:sz w:val="22"/>
                <w:szCs w:val="22"/>
                <w:highlight w:val="none"/>
                <w:lang w:eastAsia="zh-CN" w:bidi="ar"/>
              </w:rPr>
              <w:t>）、</w:t>
            </w:r>
            <w:r>
              <w:rPr>
                <w:rFonts w:hint="eastAsia" w:ascii="宋体" w:hAnsi="宋体" w:cs="宋体"/>
                <w:color w:val="auto"/>
                <w:kern w:val="0"/>
                <w:sz w:val="22"/>
                <w:szCs w:val="22"/>
                <w:highlight w:val="none"/>
                <w:lang w:bidi="ar"/>
              </w:rPr>
              <w:t>软件设计师</w:t>
            </w:r>
            <w:r>
              <w:rPr>
                <w:rFonts w:hint="eastAsia" w:ascii="宋体" w:hAnsi="宋体" w:cs="宋体"/>
                <w:color w:val="auto"/>
                <w:kern w:val="0"/>
                <w:sz w:val="22"/>
                <w:szCs w:val="22"/>
                <w:highlight w:val="none"/>
                <w:lang w:eastAsia="zh-CN" w:bidi="ar"/>
              </w:rPr>
              <w:t>（</w:t>
            </w:r>
            <w:r>
              <w:rPr>
                <w:rFonts w:hint="eastAsia" w:ascii="宋体" w:hAnsi="宋体" w:cs="宋体"/>
                <w:color w:val="auto"/>
                <w:kern w:val="0"/>
                <w:sz w:val="22"/>
                <w:szCs w:val="22"/>
                <w:highlight w:val="none"/>
                <w:lang w:val="en-US" w:eastAsia="zh-CN" w:bidi="ar"/>
              </w:rPr>
              <w:t>软考</w:t>
            </w:r>
            <w:r>
              <w:rPr>
                <w:rFonts w:hint="eastAsia" w:ascii="宋体" w:hAnsi="宋体" w:cs="宋体"/>
                <w:color w:val="auto"/>
                <w:kern w:val="0"/>
                <w:sz w:val="22"/>
                <w:szCs w:val="22"/>
                <w:highlight w:val="none"/>
                <w:lang w:eastAsia="zh-CN" w:bidi="ar"/>
              </w:rPr>
              <w:t>）、</w:t>
            </w:r>
            <w:r>
              <w:rPr>
                <w:rFonts w:hint="eastAsia" w:ascii="宋体" w:hAnsi="宋体" w:cs="宋体"/>
                <w:color w:val="auto"/>
                <w:kern w:val="0"/>
                <w:sz w:val="22"/>
                <w:szCs w:val="22"/>
                <w:highlight w:val="none"/>
                <w:lang w:val="en-US" w:eastAsia="zh-CN" w:bidi="ar"/>
              </w:rPr>
              <w:t>信息安全工程师（软考）</w:t>
            </w:r>
            <w:r>
              <w:rPr>
                <w:rFonts w:hint="eastAsia" w:ascii="宋体" w:hAnsi="宋体" w:cs="宋体"/>
                <w:color w:val="auto"/>
                <w:kern w:val="0"/>
                <w:sz w:val="22"/>
                <w:szCs w:val="22"/>
                <w:highlight w:val="none"/>
                <w:lang w:bidi="ar"/>
              </w:rPr>
              <w:t>，每本证书得1分，最高得5分</w:t>
            </w:r>
            <w:r>
              <w:rPr>
                <w:rFonts w:hint="eastAsia" w:ascii="宋体" w:hAnsi="宋体" w:cs="宋体"/>
                <w:color w:val="auto"/>
                <w:kern w:val="0"/>
                <w:sz w:val="22"/>
                <w:szCs w:val="22"/>
                <w:highlight w:val="none"/>
                <w:lang w:eastAsia="zh-CN" w:bidi="ar"/>
              </w:rPr>
              <w:t>。</w:t>
            </w:r>
          </w:p>
        </w:tc>
      </w:tr>
      <w:tr w14:paraId="4A1B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vMerge w:val="continue"/>
            <w:tcBorders>
              <w:left w:val="single" w:color="auto" w:sz="4" w:space="0"/>
              <w:right w:val="single" w:color="auto" w:sz="4" w:space="0"/>
              <w:tl2br w:val="nil"/>
              <w:tr2bl w:val="nil"/>
            </w:tcBorders>
            <w:noWrap/>
            <w:vAlign w:val="center"/>
          </w:tcPr>
          <w:p w14:paraId="6D80C250">
            <w:pPr>
              <w:ind w:left="0" w:leftChars="0" w:right="0" w:rightChars="0" w:firstLine="0" w:firstLineChars="0"/>
              <w:jc w:val="center"/>
              <w:rPr>
                <w:rFonts w:hint="eastAsia" w:ascii="宋体" w:hAnsi="宋体" w:eastAsia="宋体" w:cs="宋体"/>
                <w:color w:val="auto"/>
                <w:sz w:val="22"/>
                <w:szCs w:val="22"/>
                <w:highlight w:val="none"/>
              </w:rPr>
            </w:pPr>
          </w:p>
        </w:tc>
        <w:tc>
          <w:tcPr>
            <w:tcW w:w="827" w:type="dxa"/>
            <w:vMerge w:val="continue"/>
            <w:tcBorders>
              <w:left w:val="single" w:color="auto" w:sz="4" w:space="0"/>
              <w:right w:val="single" w:color="auto" w:sz="4" w:space="0"/>
              <w:tl2br w:val="nil"/>
              <w:tr2bl w:val="nil"/>
            </w:tcBorders>
            <w:vAlign w:val="center"/>
          </w:tcPr>
          <w:p w14:paraId="77EA8774">
            <w:pPr>
              <w:ind w:left="0" w:leftChars="0" w:right="0" w:rightChars="0" w:firstLine="0" w:firstLineChars="0"/>
              <w:jc w:val="center"/>
              <w:rPr>
                <w:rFonts w:hint="eastAsia" w:ascii="宋体" w:hAnsi="宋体" w:eastAsia="宋体" w:cs="宋体"/>
                <w:color w:val="auto"/>
                <w:sz w:val="22"/>
                <w:szCs w:val="22"/>
                <w:highlight w:val="none"/>
              </w:rPr>
            </w:pPr>
          </w:p>
        </w:tc>
        <w:tc>
          <w:tcPr>
            <w:tcW w:w="827" w:type="dxa"/>
            <w:vMerge w:val="continue"/>
            <w:tcBorders>
              <w:left w:val="single" w:color="auto" w:sz="4" w:space="0"/>
              <w:bottom w:val="single" w:color="auto" w:sz="4" w:space="0"/>
              <w:right w:val="single" w:color="auto" w:sz="4" w:space="0"/>
              <w:tl2br w:val="nil"/>
              <w:tr2bl w:val="nil"/>
            </w:tcBorders>
            <w:vAlign w:val="center"/>
          </w:tcPr>
          <w:p w14:paraId="14D1F145">
            <w:pPr>
              <w:ind w:left="0" w:leftChars="0" w:right="0" w:rightChars="0" w:firstLine="0" w:firstLineChars="0"/>
              <w:jc w:val="center"/>
              <w:rPr>
                <w:rFonts w:hint="eastAsia" w:ascii="宋体" w:hAnsi="宋体" w:eastAsia="宋体" w:cs="宋体"/>
                <w:color w:val="auto"/>
                <w:sz w:val="22"/>
                <w:szCs w:val="22"/>
                <w:highlight w:val="none"/>
              </w:rPr>
            </w:pPr>
          </w:p>
        </w:tc>
        <w:tc>
          <w:tcPr>
            <w:tcW w:w="73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79FD44">
            <w:pPr>
              <w:rPr>
                <w:rFonts w:hint="eastAsia" w:ascii="宋体" w:hAnsi="宋体" w:cs="宋体" w:eastAsiaTheme="minorEastAsia"/>
                <w:color w:val="auto"/>
                <w:kern w:val="2"/>
                <w:sz w:val="22"/>
                <w:szCs w:val="22"/>
                <w:highlight w:val="none"/>
                <w:lang w:val="en-US" w:eastAsia="zh-CN" w:bidi="ar-SA"/>
              </w:rPr>
            </w:pPr>
            <w:r>
              <w:rPr>
                <w:rFonts w:ascii="宋体" w:hAnsi="宋体" w:cs="宋体"/>
                <w:color w:val="auto"/>
                <w:sz w:val="22"/>
                <w:szCs w:val="22"/>
                <w:highlight w:val="none"/>
              </w:rPr>
              <w:t>注：</w:t>
            </w:r>
            <w:r>
              <w:rPr>
                <w:rFonts w:hint="eastAsia" w:ascii="宋体" w:hAnsi="宋体" w:cs="宋体"/>
                <w:b/>
                <w:bCs/>
                <w:color w:val="auto"/>
                <w:sz w:val="22"/>
                <w:szCs w:val="22"/>
                <w:highlight w:val="none"/>
              </w:rPr>
              <w:t>①以上人员证书须提供相关证明材料（签发/颁证机构为人力资源和社会保障部（厅、局）或工业和信息化部（厅、局）或软件行业协会或</w:t>
            </w:r>
            <w:r>
              <w:rPr>
                <w:rFonts w:hint="eastAsia" w:ascii="宋体" w:hAnsi="宋体" w:cs="宋体"/>
                <w:b/>
                <w:bCs/>
                <w:color w:val="auto"/>
                <w:sz w:val="22"/>
                <w:szCs w:val="22"/>
                <w:highlight w:val="none"/>
                <w:lang w:val="en-US" w:eastAsia="zh-CN"/>
              </w:rPr>
              <w:t>国家</w:t>
            </w:r>
            <w:r>
              <w:rPr>
                <w:rFonts w:hint="eastAsia" w:ascii="宋体" w:hAnsi="宋体" w:cs="宋体"/>
                <w:b/>
                <w:bCs/>
                <w:color w:val="auto"/>
                <w:sz w:val="22"/>
                <w:szCs w:val="22"/>
                <w:highlight w:val="none"/>
              </w:rPr>
              <w:t>民用航空局）复印件加盖公章</w:t>
            </w:r>
            <w:r>
              <w:rPr>
                <w:rFonts w:hint="eastAsia" w:ascii="宋体" w:hAnsi="宋体" w:cs="宋体"/>
                <w:color w:val="auto"/>
                <w:sz w:val="22"/>
                <w:szCs w:val="22"/>
                <w:highlight w:val="none"/>
              </w:rPr>
              <w:t>；②以上持证人员需提供完整有效的证书复印件加盖投标人公章，并提供在投标人处近3个月内任意一个月的社保证明加盖投标人公章，社保缴纳单位应与投标人名称一致，否则不得分。</w:t>
            </w:r>
          </w:p>
        </w:tc>
      </w:tr>
      <w:tr w14:paraId="250D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17" w:type="dxa"/>
            <w:tcBorders>
              <w:left w:val="single" w:color="auto" w:sz="4" w:space="0"/>
              <w:bottom w:val="single" w:color="auto" w:sz="4" w:space="0"/>
              <w:right w:val="single" w:color="auto" w:sz="4" w:space="0"/>
              <w:tl2br w:val="nil"/>
              <w:tr2bl w:val="nil"/>
            </w:tcBorders>
            <w:shd w:val="clear" w:color="auto" w:fill="auto"/>
            <w:noWrap/>
            <w:vAlign w:val="center"/>
          </w:tcPr>
          <w:p w14:paraId="1E48D253">
            <w:pPr>
              <w:widowControl/>
              <w:ind w:left="0" w:leftChars="0" w:right="0" w:rightChars="0" w:firstLine="0" w:firstLineChars="0"/>
              <w:jc w:val="center"/>
              <w:textAlignment w:val="center"/>
              <w:rPr>
                <w:rFonts w:hint="eastAsia" w:ascii="宋体" w:hAnsi="宋体" w:eastAsia="宋体" w:cs="宋体"/>
                <w:color w:val="auto"/>
                <w:kern w:val="2"/>
                <w:sz w:val="22"/>
                <w:szCs w:val="22"/>
                <w:highlight w:val="none"/>
                <w:lang w:val="en-US" w:eastAsia="zh-CN" w:bidi="ar-SA"/>
              </w:rPr>
            </w:pPr>
            <w:r>
              <w:rPr>
                <w:rFonts w:ascii="宋体" w:hAnsi="宋体" w:eastAsia="宋体" w:cs="宋体"/>
                <w:color w:val="auto"/>
                <w:kern w:val="0"/>
                <w:sz w:val="22"/>
                <w:szCs w:val="22"/>
                <w:highlight w:val="none"/>
                <w:lang w:bidi="ar"/>
              </w:rPr>
              <w:t>4</w:t>
            </w:r>
          </w:p>
        </w:tc>
        <w:tc>
          <w:tcPr>
            <w:tcW w:w="827" w:type="dxa"/>
            <w:tcBorders>
              <w:left w:val="single" w:color="auto" w:sz="4" w:space="0"/>
              <w:bottom w:val="single" w:color="auto" w:sz="4" w:space="0"/>
              <w:right w:val="single" w:color="auto" w:sz="4" w:space="0"/>
              <w:tl2br w:val="nil"/>
              <w:tr2bl w:val="nil"/>
            </w:tcBorders>
            <w:shd w:val="clear" w:color="auto" w:fill="auto"/>
            <w:vAlign w:val="center"/>
          </w:tcPr>
          <w:p w14:paraId="150134BD">
            <w:pPr>
              <w:widowControl/>
              <w:ind w:left="0" w:leftChars="0" w:right="0" w:rightChars="0" w:firstLine="0" w:firstLineChars="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技术参数符合度</w:t>
            </w:r>
          </w:p>
        </w:tc>
        <w:tc>
          <w:tcPr>
            <w:tcW w:w="82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5B9AAAC">
            <w:pPr>
              <w:widowControl/>
              <w:ind w:left="0" w:leftChars="0" w:right="0" w:rightChars="0" w:firstLine="0" w:firstLineChars="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24</w:t>
            </w:r>
          </w:p>
        </w:tc>
        <w:tc>
          <w:tcPr>
            <w:tcW w:w="73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A1064A">
            <w:pPr>
              <w:widowControl/>
              <w:ind w:left="0" w:leftChars="0" w:right="0" w:rightChars="0" w:firstLine="0" w:firstLineChars="0"/>
              <w:jc w:val="left"/>
              <w:textAlignment w:val="center"/>
              <w:rPr>
                <w:rFonts w:hint="eastAsia" w:ascii="宋体" w:hAnsi="宋体" w:eastAsia="宋体" w:cs="宋体"/>
                <w:color w:val="auto"/>
                <w:kern w:val="2"/>
                <w:sz w:val="22"/>
                <w:szCs w:val="22"/>
                <w:highlight w:val="none"/>
                <w:lang w:val="en-US" w:eastAsia="zh-CN" w:bidi="ar-SA"/>
              </w:rPr>
            </w:pPr>
            <w:r>
              <w:rPr>
                <w:rFonts w:ascii="宋体" w:hAnsi="宋体" w:eastAsia="宋体" w:cs="宋体"/>
                <w:color w:val="auto"/>
                <w:kern w:val="0"/>
                <w:sz w:val="22"/>
                <w:szCs w:val="22"/>
                <w:highlight w:val="none"/>
                <w:lang w:bidi="ar"/>
              </w:rPr>
              <w:t>根据投标人所投产品与本项目招标文件中参数要求的符合程度，按要求提供产品技术说明或参数材料，未提供视为负偏离，由评委进行核实打分，标“★”每负偏离一项扣1.5分，其他参数每负偏离一项扣0.5分，扣完为止。</w:t>
            </w:r>
          </w:p>
        </w:tc>
      </w:tr>
    </w:tbl>
    <w:p w14:paraId="67F2FCF5">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734059"/>
    <w:rsid w:val="245F7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3">
    <w:name w:val="Body Text First Indent 2"/>
    <w:unhideWhenUsed/>
    <w:qFormat/>
    <w:uiPriority w:val="99"/>
    <w:pPr>
      <w:widowControl w:val="0"/>
      <w:spacing w:after="120"/>
      <w:ind w:left="420" w:leftChars="200" w:firstLine="420" w:firstLineChars="20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1444</Words>
  <Characters>1559</Characters>
  <Lines>0</Lines>
  <Paragraphs>0</Paragraphs>
  <TotalTime>1</TotalTime>
  <ScaleCrop>false</ScaleCrop>
  <LinksUpToDate>false</LinksUpToDate>
  <CharactersWithSpaces>1559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2026-06-18T04:42:00Z</dcterms:created>
  <dc:creator>huawei</dc:creator>
  <cp:lastModifiedBy>JJYY001</cp:lastModifiedBy>
  <dcterms:modified xsi:type="dcterms:W3CDTF">2026-06-18T08:04:01Z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eyJoZGlkIjoiZGZlNjk0ZGYzYzk1OTZiYzA2NTYwZTg1ODY0OGMwOGEiLCJ1c2VySWQiOiI5NDQzMjU3NzEifQ==</vt:lpwstr>
  </property>
  <property fmtid="{D5CDD505-2E9C-101B-9397-08002B2CF9AE}" pid="4" name="ICV">
    <vt:lpwstr>F975B8C5E0494B05893E68D3BE539423_12</vt:lpwstr>
  </property>
</Properties>
</file>